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06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063865"/>
                    </a:xfrm>
                    <a:prstGeom prst="rect">
                      <a:avLst/>
                    </a:prstGeom>
                    <a:noFill/>
                  </pic:spPr>
                </pic:pic>
              </a:graphicData>
            </a:graphic>
          </wp:anchor>
        </w:drawing>
      </w:r>
    </w:p>
    <w:p>
      <w:pPr>
        <w:spacing w:after="0" w:line="1285" w:lineRule="exact"/>
        <w:rPr>
          <w:sz w:val="24"/>
          <w:szCs w:val="24"/>
          <w:color w:val="auto"/>
        </w:rPr>
      </w:pPr>
    </w:p>
    <w:p>
      <w:pPr>
        <w:sectPr>
          <w:pgSz w:w="11900" w:h="16894"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Lynx1 Capital Management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D81 CALLE C, STE 301, PMB 1202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Neuphoria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NEUP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94" w:orient="portrait"/>
          <w:cols w:equalWidth="0" w:num="3">
            <w:col w:w="3200" w:space="720"/>
            <w:col w:w="3180" w:space="635"/>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DORADO</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PR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00646-2051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94"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6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$0.00001 par value per</w:t>
            </w:r>
          </w:p>
        </w:tc>
        <w:tc>
          <w:tcPr>
            <w:tcW w:w="12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10/21/2025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639,110</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5.137</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875,328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gridSpan w:val="2"/>
            <w:vMerge w:val="continue"/>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4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60" w:type="dxa"/>
            <w:vAlign w:val="bottom"/>
            <w:gridSpan w:val="14"/>
          </w:tcPr>
          <w:p>
            <w:pPr>
              <w:ind w:left="2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4"/>
          </w:tcPr>
          <w:p>
            <w:pPr>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1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9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Lynx1 Capital Management LP</w:t>
              </w:r>
            </w:hyperlink>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D81 CALLE C, STE 301, PMB 1202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DORADO</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00646-2051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Nichols Weston</w:t>
              </w:r>
            </w:hyperlink>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D81 CALLE C, STE 301, PMB 1202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DORADO</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00646-2051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$4.96 to $5.20 inclusive. The Reporting Persons undertake to provide to the Issuer, any security holder of the Issuer, or the staff of the Securities and Exchange Commission, upon request, full information regarding the number of shares purchased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to which this filing relates are held directly by Lynx1 Master Fund LP to which Lynx1 Capital Management LP (the "Investment Manager") serves as investment manager. Weston</w:t>
      </w:r>
    </w:p>
    <w:p>
      <w:pPr>
        <w:sectPr>
          <w:pgSz w:w="11900" w:h="16894"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Nichols ("Mr. Nichols") is the sole member of Lynx1 Capital Management GP LLC, the general partner of the Investment Manager. Each of the Investment Manager and Mr. Nichols disclaims beneficial ownership of the securities to which this filing relates for purposes of Section 16 of the Securities and Exchange Act of 1934, as amended, except to the extent of his or its pecuniary interest therein, if any.</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Lynx1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8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Lynx1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3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Management GP LLC, its</w:t>
      </w:r>
      <w:r>
        <w:rPr>
          <w:sz w:val="20"/>
          <w:szCs w:val="20"/>
          <w:color w:val="auto"/>
        </w:rPr>
        <w:tab/>
      </w:r>
      <w:r>
        <w:rPr>
          <w:rFonts w:ascii="Times New Roman" w:cs="Times New Roman" w:eastAsia="Times New Roman" w:hAnsi="Times New Roman"/>
          <w:sz w:val="17"/>
          <w:szCs w:val="17"/>
          <w:color w:val="0000FF"/>
        </w:rPr>
        <w:t>10/23/2025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Weston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82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Nichols,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25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Weston Nichols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10/23/2025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www.sec.gov/cgi-bin/browse-edgar?action=getcompany&amp;CIK=0001910456" TargetMode="External"/><Relationship Id="rId14" Type="http://schemas.openxmlformats.org/officeDocument/2006/relationships/hyperlink" Target="http://www.sec.gov/cgi-bin/browse-edgar?action=getcompany&amp;CIK=0001191070" TargetMode="External"/><Relationship Id="rId16" Type="http://schemas.openxmlformats.org/officeDocument/2006/relationships/hyperlink" Target="http://www.sec.gov/cgi-bin/browse-edgar?action=getcompany&amp;CIK=00017463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2025-10-23T18:51:02Z</dcterms:created>
  <dcterms:modified xsi:type="dcterms:W3CDTF">2025-10-23T18:51:02Z</dcterms:modified>
</cp:coreProperties>
</file>