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Neuphoria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64136E102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0000FF"/>
        </w:rPr>
        <w:t>Lynx1 Capital Management LP</w:t>
      </w:r>
    </w:p>
    <w:p>
      <w:pPr>
        <w:spacing w:after="0" w:line="8"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0000FF"/>
        </w:rPr>
        <w:t>D81 Calle C, STE 301, PMB 1202,</w:t>
      </w:r>
    </w:p>
    <w:p>
      <w:pPr>
        <w:ind w:left="3700"/>
        <w:spacing w:after="0" w:line="230" w:lineRule="auto"/>
        <w:rPr>
          <w:sz w:val="20"/>
          <w:szCs w:val="20"/>
          <w:color w:val="auto"/>
        </w:rPr>
      </w:pPr>
      <w:r>
        <w:rPr>
          <w:rFonts w:ascii="Times New Roman" w:cs="Times New Roman" w:eastAsia="Times New Roman" w:hAnsi="Times New Roman"/>
          <w:sz w:val="22"/>
          <w:szCs w:val="22"/>
          <w:b w:val="1"/>
          <w:bCs w:val="1"/>
          <w:color w:val="0000FF"/>
        </w:rPr>
        <w:t>Dorado, PR, 00646-2051</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929-888-7476</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Ele Klein &amp; Adriana Schwartz</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McDermott Will &amp; Schulte LLP, 919 Third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64136E102</w:t>
      </w:r>
    </w:p>
    <w:p>
      <w:pPr>
        <w:sectPr>
          <w:pgSz w:w="11900" w:h="16838" w:orient="portrait"/>
          <w:cols w:equalWidth="0" w:num="1">
            <w:col w:w="11240"/>
          </w:cols>
          <w:pgMar w:left="320" w:top="866" w:right="339" w:bottom="0" w:gutter="0" w:footer="0" w:header="0"/>
        </w:sectPr>
      </w:pPr>
    </w:p>
    <w:p>
      <w:pPr>
        <w:spacing w:after="0" w:line="200" w:lineRule="exact"/>
        <w:rPr>
          <w:sz w:val="24"/>
          <w:szCs w:val="24"/>
          <w:color w:val="auto"/>
        </w:rPr>
      </w:pPr>
    </w:p>
    <w:p>
      <w:pPr>
        <w:spacing w:after="0" w:line="361"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Lynx1 Capital Management LP</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875,328.00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875,328.00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875,328.00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60"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64136E102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Weston Nichols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60" w:orient="portrait"/>
          <w:cols w:equalWidth="0" w:num="1">
            <w:col w:w="10099"/>
          </w:cols>
          <w:pgMar w:left="360" w:top="111" w:right="1440"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875,328.00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875,328.00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875,328.00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2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Neuphoria Therapeutics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100 SUMMIT DR, BURLINGTON, MASSACHUSETTS , 01803.</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right="240"/>
        <w:spacing w:after="0" w:line="247" w:lineRule="auto"/>
        <w:rPr>
          <w:sz w:val="20"/>
          <w:szCs w:val="20"/>
          <w:color w:val="auto"/>
        </w:rPr>
      </w:pPr>
      <w:r>
        <w:rPr>
          <w:rFonts w:ascii="Times New Roman" w:cs="Times New Roman" w:eastAsia="Times New Roman" w:hAnsi="Times New Roman"/>
          <w:sz w:val="21"/>
          <w:szCs w:val="21"/>
          <w:color w:val="auto"/>
        </w:rPr>
        <w:t>(i) Lynx1 Capital Management LP (the "Investment Manager"), a Delaware limited partnership, and the investment manager to Lynx1 Master Fund LP (the "Lynx1 Fund"), with respect to the shares of common stock, par value $0.00001 per share ("Common Stock") of Neuphoria Therapeutics Inc., a Delaware corporation (the "Company"), directly held by the Lynx1 Fund; and (ii) Mr. Weston Nichols ("Mr. Nichols"), the sole member of Lynx1 Capital</w:t>
      </w:r>
    </w:p>
    <w:p>
      <w:pPr>
        <w:spacing w:after="0" w:line="1" w:lineRule="exact"/>
        <w:rPr>
          <w:sz w:val="20"/>
          <w:szCs w:val="20"/>
          <w:color w:val="auto"/>
        </w:rPr>
      </w:pPr>
    </w:p>
    <w:p>
      <w:pPr>
        <w:ind w:left="940" w:right="60" w:hanging="932"/>
        <w:spacing w:after="0" w:line="233"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GP LLC (the "GP"), the general partner of the Investment Manager, with respect to the shares of Common Stock directly held by the Lynx1 Fund.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w:t>
      </w:r>
    </w:p>
    <w:p>
      <w:pPr>
        <w:spacing w:after="0" w:line="17" w:lineRule="exact"/>
        <w:rPr>
          <w:rFonts w:ascii="Times New Roman" w:cs="Times New Roman" w:eastAsia="Times New Roman" w:hAnsi="Times New Roman"/>
          <w:sz w:val="22"/>
          <w:szCs w:val="22"/>
          <w:color w:val="auto"/>
        </w:rPr>
      </w:pPr>
    </w:p>
    <w:p>
      <w:pPr>
        <w:ind w:left="940" w:right="36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 of each of the Reporting Persons and the GP is D81 Calle C, STE 301, PMB 1202, Dorado, P.R., 00646-2051.</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The principal business of the Investment Manager is to serve as investment manager to the Lynx1 Fund. The principal</w:t>
      </w:r>
    </w:p>
    <w:p>
      <w:pPr>
        <w:spacing w:after="0" w:line="25" w:lineRule="exact"/>
        <w:rPr>
          <w:rFonts w:ascii="Times New Roman" w:cs="Times New Roman" w:eastAsia="Times New Roman" w:hAnsi="Times New Roman"/>
          <w:sz w:val="39"/>
          <w:szCs w:val="39"/>
          <w:color w:val="auto"/>
          <w:vertAlign w:val="subscript"/>
        </w:rPr>
      </w:pPr>
    </w:p>
    <w:p>
      <w:pPr>
        <w:ind w:left="940" w:right="520" w:hanging="932"/>
        <w:spacing w:after="0" w:line="237"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of the GP is to serve as the general partner of the Investment Manager. The principal occupation of Mr. Nichols is to serve as Chief Investment Officer of the Investment Manager.</w:t>
      </w:r>
    </w:p>
    <w:p>
      <w:pPr>
        <w:spacing w:after="0" w:line="16" w:lineRule="exact"/>
        <w:rPr>
          <w:rFonts w:ascii="Times New Roman" w:cs="Times New Roman" w:eastAsia="Times New Roman" w:hAnsi="Times New Roman"/>
          <w:sz w:val="22"/>
          <w:szCs w:val="22"/>
          <w:color w:val="auto"/>
        </w:rPr>
      </w:pPr>
    </w:p>
    <w:p>
      <w:pPr>
        <w:ind w:left="940" w:right="38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None of the Reporting Persons or the GP have,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None of the Reporting Persons or the GP have, during the past five years, been party to a civil proceeding of a</w:t>
      </w:r>
    </w:p>
    <w:p>
      <w:pPr>
        <w:spacing w:after="0" w:line="14" w:lineRule="exact"/>
        <w:rPr>
          <w:rFonts w:ascii="Times New Roman" w:cs="Times New Roman" w:eastAsia="Times New Roman" w:hAnsi="Times New Roman"/>
          <w:sz w:val="39"/>
          <w:szCs w:val="39"/>
          <w:color w:val="auto"/>
          <w:vertAlign w:val="subscript"/>
        </w:rPr>
      </w:pPr>
    </w:p>
    <w:p>
      <w:pPr>
        <w:jc w:val="both"/>
        <w:ind w:left="940" w:hanging="932"/>
        <w:spacing w:after="0" w:line="184" w:lineRule="auto"/>
        <w:tabs>
          <w:tab w:leader="none" w:pos="94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judicial or administrative body of competent jurisdiction and, as a result of such proceedings, were or are subject to a judgment, decree or final order enjoining future violations of, or prohibiting or mandating activities subject to, federal or state securities laws or violation with respect to such laws.</w:t>
      </w:r>
    </w:p>
    <w:p>
      <w:pPr>
        <w:sectPr>
          <w:pgSz w:w="11900" w:h="16838" w:orient="portrait"/>
          <w:cols w:equalWidth="0" w:num="1">
            <w:col w:w="11140"/>
          </w:cols>
          <w:pgMar w:left="360" w:top="355" w:right="399" w:bottom="0" w:gutter="0" w:footer="0" w:header="0"/>
          <w:type w:val="continuous"/>
        </w:sectPr>
      </w:pPr>
    </w:p>
    <w:bookmarkStart w:id="3" w:name="page4"/>
    <w:bookmarkEnd w:id="3"/>
    <w:p>
      <w:pPr>
        <w:ind w:right="60" w:firstLine="8"/>
        <w:spacing w:after="0" w:line="282" w:lineRule="auto"/>
        <w:tabs>
          <w:tab w:leader="none" w:pos="93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Investment Manager and the GP is a Delaware limited partnership. Mr. Nichols is a United States citizen. Item 3. Source and Amount of Funds or Other Consideration</w:t>
      </w:r>
    </w:p>
    <w:p>
      <w:pPr>
        <w:jc w:val="both"/>
        <w:ind w:left="940" w:right="220"/>
        <w:spacing w:after="0" w:line="239" w:lineRule="auto"/>
        <w:rPr>
          <w:sz w:val="20"/>
          <w:szCs w:val="20"/>
          <w:color w:val="auto"/>
        </w:rPr>
      </w:pPr>
      <w:r>
        <w:rPr>
          <w:rFonts w:ascii="Times New Roman" w:cs="Times New Roman" w:eastAsia="Times New Roman" w:hAnsi="Times New Roman"/>
          <w:sz w:val="22"/>
          <w:szCs w:val="22"/>
          <w:color w:val="auto"/>
        </w:rPr>
        <w:t>Funds for the purchase of the securities reported herein were derived from the general working capital of the Lynx1 Fund. A total of approximately $4,524,327 was paid to acquire such securities. Positions in the shares of Common Stock may be held in margin accounts. Because other securities may be held in such margin accounts, it may not be possible to determine the amounts, if any, of margin used to purchase the shares of Common Stock.</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31" w:lineRule="auto"/>
        <w:rPr>
          <w:sz w:val="20"/>
          <w:szCs w:val="20"/>
          <w:color w:val="auto"/>
        </w:rPr>
      </w:pPr>
      <w:r>
        <w:rPr>
          <w:rFonts w:ascii="Times New Roman" w:cs="Times New Roman" w:eastAsia="Times New Roman" w:hAnsi="Times New Roman"/>
          <w:sz w:val="22"/>
          <w:szCs w:val="22"/>
          <w:color w:val="auto"/>
        </w:rPr>
        <w:t>The Reporting Persons acquired the securities reported herein because they believe the securities are undervalued and represent an attractive investment opportunity. The Reporting Persons may communicate with the Company's management and board of directors (the "Board") about, and may enter into negotiations and agreements with them regarding, among other things, the Company's operations, management, Board composition, ownership, capital or corporate structure, sale transactions, dividend and buyback policies, strategy and plans, including any transactions involving the Company or certain of the Company's businesses or assets, including transactions in which the Reporting Persons may seek to participate and potentially engage in, and may communicate with other shareholders or third parties, regarding the Company and the foregoing, and the exploration and/or development of plans and/or proposals (whether preliminary or final) with respect to the foregoing. The Reporting Persons may exchange information with any such persons pursuant to appropriate confidentiality or similar agreements. The Reporting Persons may change its intentions with respect to any and all matters referred to in this Item 4. The Reporting Persons may also take steps to explore and prepare for various plans and actions, and propose transactions, before forming an intention to engage in such plans or actions or proceed with such transactions. The Reporting Persons intend to review their investment in the Company on a continuing basis and depending upon various factors, including without limitation, the Company's financial position and strategic direction, the outcome of any discussions referenced above, overall market conditions, other investment opportunities available to the Reporting Persons, and the availability of securities of the Company at prices that would make the purchase or sale of such securities desirable, the Reporting Persons may endeavor (i) to increase or decrease their position in the Company through, among other things, the purchase or sale of securities of the Company, including through transactions involving shares of Common Stock and/or other equity, debt, notes, other securities, or derivative or other instruments that are based upon or relate to the value of securities of the Company in the open market or in private transactions, on such terms and at such times as the Reporting Persons may deem advisable and/or (ii) to enter into transactions that increase or decrease their economic exposure to the shares of Common Stock without affecting their beneficial ownership of the shares of Common Stock or adjust their exposure to the shares of Common Stock in ways that would affect their beneficial ownership of the shares of Common Stock. In addition, the Reporting Persons may, at any time and from time to time, (i) review or reconsider their position and/or change their purpose and/or formulate plans or proposals with respect thereto and (ii) consider or propose one or more of the actions described in subparagraphs (a) - (j) of Item 4 of Schedule 13D.</w:t>
      </w:r>
    </w:p>
    <w:p>
      <w:pPr>
        <w:spacing w:after="0" w:line="4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40"/>
        <w:spacing w:after="0" w:line="253" w:lineRule="auto"/>
        <w:rPr>
          <w:sz w:val="20"/>
          <w:szCs w:val="20"/>
          <w:color w:val="auto"/>
        </w:rPr>
      </w:pPr>
      <w:r>
        <w:rPr>
          <w:rFonts w:ascii="Times New Roman" w:cs="Times New Roman" w:eastAsia="Times New Roman" w:hAnsi="Times New Roman"/>
          <w:sz w:val="21"/>
          <w:szCs w:val="21"/>
          <w:color w:val="auto"/>
        </w:rPr>
        <w:t>See rows (11) and (13) of the cover pages to this Schedule 13D for the aggregate number of shares of Common Stock and percentages of shares of Common Stock beneficially owned by the Reporting Persons. The aggregate percentage</w:t>
      </w:r>
    </w:p>
    <w:p>
      <w:pPr>
        <w:spacing w:after="0" w:line="1" w:lineRule="exact"/>
        <w:rPr>
          <w:sz w:val="20"/>
          <w:szCs w:val="20"/>
          <w:color w:val="auto"/>
        </w:rPr>
      </w:pPr>
    </w:p>
    <w:p>
      <w:pPr>
        <w:ind w:left="940" w:right="320" w:hanging="932"/>
        <w:spacing w:after="0" w:line="189" w:lineRule="auto"/>
        <w:tabs>
          <w:tab w:leader="none" w:pos="94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of shares of Common Stock reported to be beneficially owned by the Reporting Persons is based upon 2,357,613 shares of Common Stock outstanding as of September 29, 2025, as reported in the Company's Annual Report on Form 10-K for the fiscal ended June 30, 2025, filed with the Securities and Exchange Commission (the "SEC") on September 29, 2025.</w:t>
      </w:r>
    </w:p>
    <w:p>
      <w:pPr>
        <w:spacing w:after="0" w:line="14" w:lineRule="exact"/>
        <w:rPr>
          <w:rFonts w:ascii="Times New Roman" w:cs="Times New Roman" w:eastAsia="Times New Roman" w:hAnsi="Times New Roman"/>
          <w:sz w:val="43"/>
          <w:szCs w:val="43"/>
          <w:color w:val="auto"/>
          <w:vertAlign w:val="subscript"/>
        </w:rPr>
      </w:pPr>
    </w:p>
    <w:p>
      <w:pPr>
        <w:ind w:left="94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See rows (7) through (10) of the cover page to this Schedule 13D for the number of shares of Common Stock as to</w:t>
      </w:r>
    </w:p>
    <w:p>
      <w:pPr>
        <w:spacing w:after="0" w:line="14" w:lineRule="exact"/>
        <w:rPr>
          <w:rFonts w:ascii="Times New Roman" w:cs="Times New Roman" w:eastAsia="Times New Roman" w:hAnsi="Times New Roman"/>
          <w:sz w:val="43"/>
          <w:szCs w:val="43"/>
          <w:color w:val="auto"/>
          <w:vertAlign w:val="subscript"/>
        </w:rPr>
      </w:pPr>
    </w:p>
    <w:p>
      <w:pPr>
        <w:ind w:left="940" w:right="480" w:hanging="932"/>
        <w:spacing w:after="0" w:line="237" w:lineRule="auto"/>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the Reporting Persons have the sole or shared power to vote or direct the vote and sole or shared power to dispose or to direct the disposition.</w:t>
      </w:r>
    </w:p>
    <w:p>
      <w:pPr>
        <w:spacing w:after="0" w:line="16" w:lineRule="exact"/>
        <w:rPr>
          <w:rFonts w:ascii="Times New Roman" w:cs="Times New Roman" w:eastAsia="Times New Roman" w:hAnsi="Times New Roman"/>
          <w:sz w:val="22"/>
          <w:szCs w:val="22"/>
          <w:color w:val="auto"/>
        </w:rPr>
      </w:pPr>
    </w:p>
    <w:p>
      <w:pPr>
        <w:ind w:left="940" w:right="360" w:hanging="932"/>
        <w:spacing w:after="0" w:line="185" w:lineRule="auto"/>
        <w:tabs>
          <w:tab w:leader="none" w:pos="94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All transactions in the shares of Common Stock effected by the Reporting Persons during the past sixty (60) days, which were all in the open market, are set forth in Schedule A, and are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No person other than the Reporting Persons and the Lynx1 Fund are known to have the right to receive, or the power</w:t>
      </w:r>
    </w:p>
    <w:p>
      <w:pPr>
        <w:spacing w:after="0" w:line="25" w:lineRule="exact"/>
        <w:rPr>
          <w:rFonts w:ascii="Times New Roman" w:cs="Times New Roman" w:eastAsia="Times New Roman" w:hAnsi="Times New Roman"/>
          <w:sz w:val="39"/>
          <w:szCs w:val="39"/>
          <w:color w:val="auto"/>
          <w:vertAlign w:val="subscript"/>
        </w:rPr>
      </w:pPr>
    </w:p>
    <w:p>
      <w:pPr>
        <w:ind w:left="940" w:right="180" w:hanging="932"/>
        <w:spacing w:after="0" w:line="237" w:lineRule="auto"/>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direct the receipt of dividends from, or proceeds from the sale of, the shares of Common Stock held by the Lynx1 Fund.</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60"/>
        <w:spacing w:after="0" w:line="236" w:lineRule="auto"/>
        <w:rPr>
          <w:sz w:val="20"/>
          <w:szCs w:val="20"/>
          <w:color w:val="auto"/>
        </w:rPr>
      </w:pPr>
      <w:r>
        <w:rPr>
          <w:rFonts w:ascii="Times New Roman" w:cs="Times New Roman" w:eastAsia="Times New Roman" w:hAnsi="Times New Roman"/>
          <w:sz w:val="22"/>
          <w:szCs w:val="22"/>
          <w:color w:val="auto"/>
        </w:rPr>
        <w:t>Except as set forth herein, there are no contracts, arrangements, understandings or relationships (legal or otherwise) among the persons named in Item 2 hereof and between such persons and any person with respect to any securities of the Company, including any class of the Company's securities used as a reference security, in connection with any of the following: call options, put options, security-based swaps or any other derivative securities, transfer or voting of any of the securities, finder's fees, joint ventures, loan or option arrangements, guarantees of profits, division of profits or loss, or the giving or withholding of proxies.</w:t>
      </w:r>
    </w:p>
    <w:p>
      <w:pPr>
        <w:spacing w:after="0" w:line="1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Exhibit 99.1: Joint Filing Agreement, dated October 23, 2025.</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2" w:right="399" w:bottom="0" w:gutter="0" w:footer="0" w:header="0"/>
        </w:sectPr>
      </w:pPr>
    </w:p>
    <w:bookmarkStart w:id="4" w:name="page5"/>
    <w:bookmarkEnd w:id="4"/>
    <w:p>
      <w:pPr>
        <w:ind w:left="1840"/>
        <w:spacing w:after="0"/>
        <w:rPr>
          <w:sz w:val="20"/>
          <w:szCs w:val="20"/>
          <w:color w:val="auto"/>
        </w:rPr>
      </w:pPr>
      <w:r>
        <w:rPr>
          <w:rFonts w:ascii="Times New Roman" w:cs="Times New Roman" w:eastAsia="Times New Roman" w:hAnsi="Times New Roman"/>
          <w:sz w:val="22"/>
          <w:szCs w:val="22"/>
          <w:color w:val="auto"/>
        </w:rPr>
        <w:t>Lynx1 Capital Management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Weston Nichols</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Lynx1 Capital Management GP LLC, General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Partner, By: Weston Nichols, Sole Member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10/23/2025</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Weston Nichols</w:t>
      </w:r>
    </w:p>
    <w:p>
      <w:pPr>
        <w:spacing w:after="0" w:line="152" w:lineRule="exact"/>
        <w:rPr>
          <w:sz w:val="20"/>
          <w:szCs w:val="20"/>
          <w:color w:val="auto"/>
        </w:rPr>
      </w:pPr>
    </w:p>
    <w:p>
      <w:pPr>
        <w:ind w:left="272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Weston Nichols</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Name/Title: Weston Nichols, individually</w:t>
      </w:r>
    </w:p>
    <w:p>
      <w:pPr>
        <w:spacing w:after="0" w:line="44" w:lineRule="exact"/>
        <w:rPr>
          <w:sz w:val="20"/>
          <w:szCs w:val="20"/>
          <w:color w:val="auto"/>
        </w:rPr>
      </w:pPr>
    </w:p>
    <w:p>
      <w:pPr>
        <w:ind w:left="272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10/23/2025</w:t>
      </w:r>
    </w:p>
    <w:p>
      <w:pPr>
        <w:sectPr>
          <w:pgSz w:w="11900" w:h="16838" w:orient="portrait"/>
          <w:cols w:equalWidth="0" w:num="1">
            <w:col w:w="10020"/>
          </w:cols>
          <w:pgMar w:left="1440" w:top="47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TRANSACTIONS OF THE COMPANY</w:t>
      </w:r>
    </w:p>
    <w:p>
      <w:pPr>
        <w:spacing w:after="0" w:line="2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DURING THE PAST SIXTY (60) DAYS</w:t>
      </w:r>
    </w:p>
    <w:p>
      <w:pPr>
        <w:spacing w:after="0" w:line="20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following table sets forth all transactions in the shares of Common Stock during the past sixty (60) days by the Reporting Persons. All such transactions were effected in the open market through brokers and the price per share excludes commissions. The shares of Common Stock were purchased or sold in multiple transactions at prices indicated in the column Price Per Share ($). Where a price range is provided in the column Price Range ($), the price reported in that row's Price Per Share ($) column is a weighted average price. The shares of Common Stock were purchased or sold in multiple transactions at prices between the price ranges indicated in the Price Range ($) column. The Reporting Persons will undertake to provide to the staff of the SEC, upon request, full information regarding the number of shares of Common Stock purchased or sold at each separate price.</w:t>
      </w:r>
    </w:p>
    <w:p>
      <w:pPr>
        <w:spacing w:after="0" w:line="208"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Trade Date</w:t>
            </w:r>
          </w:p>
        </w:tc>
        <w:tc>
          <w:tcPr>
            <w:tcW w:w="3200" w:type="dxa"/>
            <w:vAlign w:val="bottom"/>
            <w:gridSpan w:val="3"/>
          </w:tcPr>
          <w:p>
            <w:pPr>
              <w:ind w:left="660"/>
              <w:spacing w:after="0"/>
              <w:rPr>
                <w:sz w:val="20"/>
                <w:szCs w:val="20"/>
                <w:color w:val="auto"/>
              </w:rPr>
            </w:pPr>
            <w:r>
              <w:rPr>
                <w:rFonts w:ascii="Times New Roman" w:cs="Times New Roman" w:eastAsia="Times New Roman" w:hAnsi="Times New Roman"/>
                <w:sz w:val="20"/>
                <w:szCs w:val="20"/>
                <w:b w:val="1"/>
                <w:bCs w:val="1"/>
                <w:color w:val="auto"/>
              </w:rPr>
              <w:t>Shares Purchased (Sold)</w:t>
            </w:r>
          </w:p>
        </w:tc>
        <w:tc>
          <w:tcPr>
            <w:tcW w:w="2720" w:type="dxa"/>
            <w:vAlign w:val="bottom"/>
            <w:gridSpan w:val="3"/>
          </w:tcPr>
          <w:p>
            <w:pPr>
              <w:ind w:left="500"/>
              <w:spacing w:after="0"/>
              <w:rPr>
                <w:sz w:val="20"/>
                <w:szCs w:val="20"/>
                <w:color w:val="auto"/>
              </w:rPr>
            </w:pPr>
            <w:r>
              <w:rPr>
                <w:rFonts w:ascii="Times New Roman" w:cs="Times New Roman" w:eastAsia="Times New Roman" w:hAnsi="Times New Roman"/>
                <w:sz w:val="20"/>
                <w:szCs w:val="20"/>
                <w:b w:val="1"/>
                <w:bCs w:val="1"/>
                <w:color w:val="auto"/>
              </w:rPr>
              <w:t xml:space="preserve">Price per Share </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b w:val="1"/>
                <w:bCs w:val="1"/>
                <w:color w:val="auto"/>
              </w:rPr>
              <w:t>)</w:t>
            </w:r>
          </w:p>
        </w:tc>
        <w:tc>
          <w:tcPr>
            <w:tcW w:w="7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Price Range </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b w:val="1"/>
                <w:bCs w:val="1"/>
                <w:color w:val="auto"/>
              </w:rPr>
              <w:t>)</w:t>
            </w:r>
          </w:p>
        </w:tc>
      </w:tr>
      <w:tr>
        <w:trPr>
          <w:trHeight w:val="254"/>
        </w:trPr>
        <w:tc>
          <w:tcPr>
            <w:tcW w:w="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w w:val="98"/>
              </w:rPr>
              <w:t>08/27/2025</w:t>
            </w: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(1,926)</w:t>
            </w: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10.6700</w:t>
            </w: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09/17/2025</w:t>
            </w:r>
          </w:p>
        </w:tc>
        <w:tc>
          <w:tcPr>
            <w:tcW w:w="660" w:type="dxa"/>
            <w:vAlign w:val="bottom"/>
          </w:tcPr>
          <w:p>
            <w:pPr>
              <w:spacing w:after="0"/>
              <w:rPr>
                <w:sz w:val="21"/>
                <w:szCs w:val="21"/>
                <w:color w:val="auto"/>
              </w:rPr>
            </w:pPr>
          </w:p>
        </w:tc>
        <w:tc>
          <w:tcPr>
            <w:tcW w:w="2700" w:type="dxa"/>
            <w:vAlign w:val="bottom"/>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5"/>
              </w:rPr>
              <w:t>(1,000)</w:t>
            </w:r>
          </w:p>
        </w:tc>
        <w:tc>
          <w:tcPr>
            <w:tcW w:w="500" w:type="dxa"/>
            <w:vAlign w:val="bottom"/>
          </w:tcPr>
          <w:p>
            <w:pPr>
              <w:spacing w:after="0"/>
              <w:rPr>
                <w:sz w:val="21"/>
                <w:szCs w:val="21"/>
                <w:color w:val="auto"/>
              </w:rPr>
            </w:pPr>
          </w:p>
        </w:tc>
        <w:tc>
          <w:tcPr>
            <w:tcW w:w="2080" w:type="dxa"/>
            <w:vAlign w:val="bottom"/>
            <w:gridSpan w:val="2"/>
          </w:tcPr>
          <w:p>
            <w:pPr>
              <w:jc w:val="center"/>
              <w:ind w:left="401"/>
              <w:spacing w:after="0"/>
              <w:rPr>
                <w:sz w:val="20"/>
                <w:szCs w:val="20"/>
                <w:color w:val="auto"/>
              </w:rPr>
            </w:pPr>
            <w:r>
              <w:rPr>
                <w:rFonts w:ascii="Times New Roman" w:cs="Times New Roman" w:eastAsia="Times New Roman" w:hAnsi="Times New Roman"/>
                <w:sz w:val="20"/>
                <w:szCs w:val="20"/>
                <w:color w:val="auto"/>
                <w:w w:val="95"/>
              </w:rPr>
              <w:t>11.0570</w:t>
            </w:r>
          </w:p>
        </w:tc>
        <w:tc>
          <w:tcPr>
            <w:tcW w:w="640" w:type="dxa"/>
            <w:vAlign w:val="bottom"/>
          </w:tcPr>
          <w:p>
            <w:pPr>
              <w:spacing w:after="0"/>
              <w:rPr>
                <w:sz w:val="21"/>
                <w:szCs w:val="21"/>
                <w:color w:val="auto"/>
              </w:rPr>
            </w:pPr>
          </w:p>
        </w:tc>
        <w:tc>
          <w:tcPr>
            <w:tcW w:w="2100" w:type="dxa"/>
            <w:vAlign w:val="bottom"/>
            <w:gridSpan w:val="3"/>
          </w:tcPr>
          <w:p>
            <w:pPr>
              <w:jc w:val="center"/>
              <w:ind w:left="561"/>
              <w:spacing w:after="0"/>
              <w:rPr>
                <w:sz w:val="20"/>
                <w:szCs w:val="20"/>
                <w:color w:val="auto"/>
              </w:rPr>
            </w:pPr>
            <w:r>
              <w:rPr>
                <w:rFonts w:ascii="Times New Roman" w:cs="Times New Roman" w:eastAsia="Times New Roman" w:hAnsi="Times New Roman"/>
                <w:sz w:val="20"/>
                <w:szCs w:val="20"/>
                <w:color w:val="auto"/>
                <w:w w:val="98"/>
              </w:rPr>
              <w:t>11.0000 - 11.0700</w:t>
            </w:r>
          </w:p>
        </w:tc>
      </w:tr>
      <w:tr>
        <w:trPr>
          <w:trHeight w:val="243"/>
        </w:trPr>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09/18/2025</w:t>
            </w:r>
          </w:p>
        </w:tc>
        <w:tc>
          <w:tcPr>
            <w:tcW w:w="660" w:type="dxa"/>
            <w:vAlign w:val="bottom"/>
          </w:tcPr>
          <w:p>
            <w:pPr>
              <w:spacing w:after="0"/>
              <w:rPr>
                <w:sz w:val="21"/>
                <w:szCs w:val="21"/>
                <w:color w:val="auto"/>
              </w:rPr>
            </w:pPr>
          </w:p>
        </w:tc>
        <w:tc>
          <w:tcPr>
            <w:tcW w:w="2700" w:type="dxa"/>
            <w:vAlign w:val="bottom"/>
            <w:gridSpan w:val="2"/>
          </w:tcPr>
          <w:p>
            <w:pPr>
              <w:jc w:val="center"/>
              <w:ind w:left="561"/>
              <w:spacing w:after="0"/>
              <w:rPr>
                <w:sz w:val="20"/>
                <w:szCs w:val="20"/>
                <w:color w:val="auto"/>
              </w:rPr>
            </w:pPr>
            <w:r>
              <w:rPr>
                <w:rFonts w:ascii="Times New Roman" w:cs="Times New Roman" w:eastAsia="Times New Roman" w:hAnsi="Times New Roman"/>
                <w:sz w:val="20"/>
                <w:szCs w:val="20"/>
                <w:color w:val="auto"/>
              </w:rPr>
              <w:t>(900)</w:t>
            </w:r>
          </w:p>
        </w:tc>
        <w:tc>
          <w:tcPr>
            <w:tcW w:w="500" w:type="dxa"/>
            <w:vAlign w:val="bottom"/>
          </w:tcPr>
          <w:p>
            <w:pPr>
              <w:spacing w:after="0"/>
              <w:rPr>
                <w:sz w:val="21"/>
                <w:szCs w:val="21"/>
                <w:color w:val="auto"/>
              </w:rPr>
            </w:pPr>
          </w:p>
        </w:tc>
        <w:tc>
          <w:tcPr>
            <w:tcW w:w="2080" w:type="dxa"/>
            <w:vAlign w:val="bottom"/>
            <w:gridSpan w:val="2"/>
          </w:tcPr>
          <w:p>
            <w:pPr>
              <w:jc w:val="center"/>
              <w:ind w:left="381"/>
              <w:spacing w:after="0"/>
              <w:rPr>
                <w:sz w:val="20"/>
                <w:szCs w:val="20"/>
                <w:color w:val="auto"/>
              </w:rPr>
            </w:pPr>
            <w:r>
              <w:rPr>
                <w:rFonts w:ascii="Times New Roman" w:cs="Times New Roman" w:eastAsia="Times New Roman" w:hAnsi="Times New Roman"/>
                <w:sz w:val="20"/>
                <w:szCs w:val="20"/>
                <w:color w:val="auto"/>
                <w:w w:val="98"/>
              </w:rPr>
              <w:t>10.6322</w:t>
            </w:r>
          </w:p>
        </w:tc>
        <w:tc>
          <w:tcPr>
            <w:tcW w:w="640" w:type="dxa"/>
            <w:vAlign w:val="bottom"/>
          </w:tcPr>
          <w:p>
            <w:pPr>
              <w:spacing w:after="0"/>
              <w:rPr>
                <w:sz w:val="21"/>
                <w:szCs w:val="21"/>
                <w:color w:val="auto"/>
              </w:rPr>
            </w:pPr>
          </w:p>
        </w:tc>
        <w:tc>
          <w:tcPr>
            <w:tcW w:w="2100" w:type="dxa"/>
            <w:vAlign w:val="bottom"/>
            <w:gridSpan w:val="3"/>
          </w:tcPr>
          <w:p>
            <w:pPr>
              <w:jc w:val="center"/>
              <w:ind w:left="561"/>
              <w:spacing w:after="0"/>
              <w:rPr>
                <w:sz w:val="20"/>
                <w:szCs w:val="20"/>
                <w:color w:val="auto"/>
              </w:rPr>
            </w:pPr>
            <w:r>
              <w:rPr>
                <w:rFonts w:ascii="Times New Roman" w:cs="Times New Roman" w:eastAsia="Times New Roman" w:hAnsi="Times New Roman"/>
                <w:sz w:val="20"/>
                <w:szCs w:val="20"/>
                <w:color w:val="auto"/>
                <w:w w:val="98"/>
              </w:rPr>
              <w:t>10.5000 - 10.9000</w:t>
            </w:r>
          </w:p>
        </w:tc>
      </w:tr>
      <w:tr>
        <w:trPr>
          <w:trHeight w:val="243"/>
        </w:trPr>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09/19/2025</w:t>
            </w:r>
          </w:p>
        </w:tc>
        <w:tc>
          <w:tcPr>
            <w:tcW w:w="660" w:type="dxa"/>
            <w:vAlign w:val="bottom"/>
          </w:tcPr>
          <w:p>
            <w:pPr>
              <w:spacing w:after="0"/>
              <w:rPr>
                <w:sz w:val="21"/>
                <w:szCs w:val="21"/>
                <w:color w:val="auto"/>
              </w:rPr>
            </w:pPr>
          </w:p>
        </w:tc>
        <w:tc>
          <w:tcPr>
            <w:tcW w:w="2700" w:type="dxa"/>
            <w:vAlign w:val="bottom"/>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5"/>
              </w:rPr>
              <w:t>(7,950)</w:t>
            </w:r>
          </w:p>
        </w:tc>
        <w:tc>
          <w:tcPr>
            <w:tcW w:w="500" w:type="dxa"/>
            <w:vAlign w:val="bottom"/>
          </w:tcPr>
          <w:p>
            <w:pPr>
              <w:spacing w:after="0"/>
              <w:rPr>
                <w:sz w:val="21"/>
                <w:szCs w:val="21"/>
                <w:color w:val="auto"/>
              </w:rPr>
            </w:pPr>
          </w:p>
        </w:tc>
        <w:tc>
          <w:tcPr>
            <w:tcW w:w="2080" w:type="dxa"/>
            <w:vAlign w:val="bottom"/>
            <w:gridSpan w:val="2"/>
          </w:tcPr>
          <w:p>
            <w:pPr>
              <w:jc w:val="center"/>
              <w:ind w:left="381"/>
              <w:spacing w:after="0"/>
              <w:rPr>
                <w:sz w:val="20"/>
                <w:szCs w:val="20"/>
                <w:color w:val="auto"/>
              </w:rPr>
            </w:pPr>
            <w:r>
              <w:rPr>
                <w:rFonts w:ascii="Times New Roman" w:cs="Times New Roman" w:eastAsia="Times New Roman" w:hAnsi="Times New Roman"/>
                <w:sz w:val="20"/>
                <w:szCs w:val="20"/>
                <w:color w:val="auto"/>
                <w:w w:val="98"/>
              </w:rPr>
              <w:t>10.1517</w:t>
            </w:r>
          </w:p>
        </w:tc>
        <w:tc>
          <w:tcPr>
            <w:tcW w:w="640" w:type="dxa"/>
            <w:vAlign w:val="bottom"/>
          </w:tcPr>
          <w:p>
            <w:pPr>
              <w:spacing w:after="0"/>
              <w:rPr>
                <w:sz w:val="21"/>
                <w:szCs w:val="21"/>
                <w:color w:val="auto"/>
              </w:rPr>
            </w:pPr>
          </w:p>
        </w:tc>
        <w:tc>
          <w:tcPr>
            <w:tcW w:w="2100" w:type="dxa"/>
            <w:vAlign w:val="bottom"/>
            <w:gridSpan w:val="3"/>
          </w:tcPr>
          <w:p>
            <w:pPr>
              <w:jc w:val="center"/>
              <w:ind w:left="561"/>
              <w:spacing w:after="0"/>
              <w:rPr>
                <w:sz w:val="20"/>
                <w:szCs w:val="20"/>
                <w:color w:val="auto"/>
              </w:rPr>
            </w:pPr>
            <w:r>
              <w:rPr>
                <w:rFonts w:ascii="Times New Roman" w:cs="Times New Roman" w:eastAsia="Times New Roman" w:hAnsi="Times New Roman"/>
                <w:sz w:val="20"/>
                <w:szCs w:val="20"/>
                <w:color w:val="auto"/>
                <w:w w:val="98"/>
              </w:rPr>
              <w:t>10.1000 - 10.2500</w:t>
            </w:r>
          </w:p>
        </w:tc>
      </w:tr>
      <w:tr>
        <w:trPr>
          <w:trHeight w:val="243"/>
        </w:trPr>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09/22/2025</w:t>
            </w:r>
          </w:p>
        </w:tc>
        <w:tc>
          <w:tcPr>
            <w:tcW w:w="660" w:type="dxa"/>
            <w:vAlign w:val="bottom"/>
          </w:tcPr>
          <w:p>
            <w:pPr>
              <w:spacing w:after="0"/>
              <w:rPr>
                <w:sz w:val="21"/>
                <w:szCs w:val="21"/>
                <w:color w:val="auto"/>
              </w:rPr>
            </w:pPr>
          </w:p>
        </w:tc>
        <w:tc>
          <w:tcPr>
            <w:tcW w:w="2700" w:type="dxa"/>
            <w:vAlign w:val="bottom"/>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5"/>
              </w:rPr>
              <w:t>(1,841)</w:t>
            </w:r>
          </w:p>
        </w:tc>
        <w:tc>
          <w:tcPr>
            <w:tcW w:w="500" w:type="dxa"/>
            <w:vAlign w:val="bottom"/>
          </w:tcPr>
          <w:p>
            <w:pPr>
              <w:spacing w:after="0"/>
              <w:rPr>
                <w:sz w:val="21"/>
                <w:szCs w:val="21"/>
                <w:color w:val="auto"/>
              </w:rPr>
            </w:pPr>
          </w:p>
        </w:tc>
        <w:tc>
          <w:tcPr>
            <w:tcW w:w="2080" w:type="dxa"/>
            <w:vAlign w:val="bottom"/>
            <w:gridSpan w:val="2"/>
          </w:tcPr>
          <w:p>
            <w:pPr>
              <w:jc w:val="center"/>
              <w:ind w:left="381"/>
              <w:spacing w:after="0"/>
              <w:rPr>
                <w:sz w:val="20"/>
                <w:szCs w:val="20"/>
                <w:color w:val="auto"/>
              </w:rPr>
            </w:pPr>
            <w:r>
              <w:rPr>
                <w:rFonts w:ascii="Times New Roman" w:cs="Times New Roman" w:eastAsia="Times New Roman" w:hAnsi="Times New Roman"/>
                <w:sz w:val="20"/>
                <w:szCs w:val="20"/>
                <w:color w:val="auto"/>
                <w:w w:val="98"/>
              </w:rPr>
              <w:t>10.1978</w:t>
            </w:r>
          </w:p>
        </w:tc>
        <w:tc>
          <w:tcPr>
            <w:tcW w:w="640" w:type="dxa"/>
            <w:vAlign w:val="bottom"/>
          </w:tcPr>
          <w:p>
            <w:pPr>
              <w:spacing w:after="0"/>
              <w:rPr>
                <w:sz w:val="21"/>
                <w:szCs w:val="21"/>
                <w:color w:val="auto"/>
              </w:rPr>
            </w:pPr>
          </w:p>
        </w:tc>
        <w:tc>
          <w:tcPr>
            <w:tcW w:w="2100" w:type="dxa"/>
            <w:vAlign w:val="bottom"/>
            <w:gridSpan w:val="3"/>
          </w:tcPr>
          <w:p>
            <w:pPr>
              <w:jc w:val="center"/>
              <w:ind w:left="561"/>
              <w:spacing w:after="0"/>
              <w:rPr>
                <w:sz w:val="20"/>
                <w:szCs w:val="20"/>
                <w:color w:val="auto"/>
              </w:rPr>
            </w:pPr>
            <w:r>
              <w:rPr>
                <w:rFonts w:ascii="Times New Roman" w:cs="Times New Roman" w:eastAsia="Times New Roman" w:hAnsi="Times New Roman"/>
                <w:sz w:val="20"/>
                <w:szCs w:val="20"/>
                <w:color w:val="auto"/>
                <w:w w:val="98"/>
              </w:rPr>
              <w:t>10.1000 - 10.2250</w:t>
            </w:r>
          </w:p>
        </w:tc>
      </w:tr>
      <w:tr>
        <w:trPr>
          <w:trHeight w:val="243"/>
        </w:trPr>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09/23/2025</w:t>
            </w:r>
          </w:p>
        </w:tc>
        <w:tc>
          <w:tcPr>
            <w:tcW w:w="660" w:type="dxa"/>
            <w:vAlign w:val="bottom"/>
          </w:tcPr>
          <w:p>
            <w:pPr>
              <w:spacing w:after="0"/>
              <w:rPr>
                <w:sz w:val="21"/>
                <w:szCs w:val="21"/>
                <w:color w:val="auto"/>
              </w:rPr>
            </w:pPr>
          </w:p>
        </w:tc>
        <w:tc>
          <w:tcPr>
            <w:tcW w:w="2700" w:type="dxa"/>
            <w:vAlign w:val="bottom"/>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9"/>
              </w:rPr>
              <w:t>(20,511)</w:t>
            </w:r>
          </w:p>
        </w:tc>
        <w:tc>
          <w:tcPr>
            <w:tcW w:w="500" w:type="dxa"/>
            <w:vAlign w:val="bottom"/>
          </w:tcPr>
          <w:p>
            <w:pPr>
              <w:spacing w:after="0"/>
              <w:rPr>
                <w:sz w:val="21"/>
                <w:szCs w:val="21"/>
                <w:color w:val="auto"/>
              </w:rPr>
            </w:pPr>
          </w:p>
        </w:tc>
        <w:tc>
          <w:tcPr>
            <w:tcW w:w="2080" w:type="dxa"/>
            <w:vAlign w:val="bottom"/>
            <w:gridSpan w:val="2"/>
          </w:tcPr>
          <w:p>
            <w:pPr>
              <w:jc w:val="center"/>
              <w:ind w:left="381"/>
              <w:spacing w:after="0"/>
              <w:rPr>
                <w:sz w:val="20"/>
                <w:szCs w:val="20"/>
                <w:color w:val="auto"/>
              </w:rPr>
            </w:pPr>
            <w:r>
              <w:rPr>
                <w:rFonts w:ascii="Times New Roman" w:cs="Times New Roman" w:eastAsia="Times New Roman" w:hAnsi="Times New Roman"/>
                <w:sz w:val="20"/>
                <w:szCs w:val="20"/>
                <w:color w:val="auto"/>
                <w:w w:val="98"/>
              </w:rPr>
              <w:t>10.8079</w:t>
            </w:r>
          </w:p>
        </w:tc>
        <w:tc>
          <w:tcPr>
            <w:tcW w:w="640" w:type="dxa"/>
            <w:vAlign w:val="bottom"/>
          </w:tcPr>
          <w:p>
            <w:pPr>
              <w:spacing w:after="0"/>
              <w:rPr>
                <w:sz w:val="21"/>
                <w:szCs w:val="21"/>
                <w:color w:val="auto"/>
              </w:rPr>
            </w:pPr>
          </w:p>
        </w:tc>
        <w:tc>
          <w:tcPr>
            <w:tcW w:w="2100" w:type="dxa"/>
            <w:vAlign w:val="bottom"/>
            <w:gridSpan w:val="3"/>
          </w:tcPr>
          <w:p>
            <w:pPr>
              <w:jc w:val="center"/>
              <w:ind w:left="561"/>
              <w:spacing w:after="0"/>
              <w:rPr>
                <w:sz w:val="20"/>
                <w:szCs w:val="20"/>
                <w:color w:val="auto"/>
              </w:rPr>
            </w:pPr>
            <w:r>
              <w:rPr>
                <w:rFonts w:ascii="Times New Roman" w:cs="Times New Roman" w:eastAsia="Times New Roman" w:hAnsi="Times New Roman"/>
                <w:sz w:val="20"/>
                <w:szCs w:val="20"/>
                <w:color w:val="auto"/>
                <w:w w:val="98"/>
              </w:rPr>
              <w:t>10.4000 - 11.3850</w:t>
            </w:r>
          </w:p>
        </w:tc>
      </w:tr>
      <w:tr>
        <w:trPr>
          <w:trHeight w:val="243"/>
        </w:trPr>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09/23/2025</w:t>
            </w:r>
          </w:p>
        </w:tc>
        <w:tc>
          <w:tcPr>
            <w:tcW w:w="660" w:type="dxa"/>
            <w:vAlign w:val="bottom"/>
          </w:tcPr>
          <w:p>
            <w:pPr>
              <w:spacing w:after="0"/>
              <w:rPr>
                <w:sz w:val="21"/>
                <w:szCs w:val="21"/>
                <w:color w:val="auto"/>
              </w:rPr>
            </w:pPr>
          </w:p>
        </w:tc>
        <w:tc>
          <w:tcPr>
            <w:tcW w:w="2700" w:type="dxa"/>
            <w:vAlign w:val="bottom"/>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5"/>
              </w:rPr>
              <w:t>(6,335)</w:t>
            </w:r>
          </w:p>
        </w:tc>
        <w:tc>
          <w:tcPr>
            <w:tcW w:w="500" w:type="dxa"/>
            <w:vAlign w:val="bottom"/>
          </w:tcPr>
          <w:p>
            <w:pPr>
              <w:spacing w:after="0"/>
              <w:rPr>
                <w:sz w:val="21"/>
                <w:szCs w:val="21"/>
                <w:color w:val="auto"/>
              </w:rPr>
            </w:pPr>
          </w:p>
        </w:tc>
        <w:tc>
          <w:tcPr>
            <w:tcW w:w="2080" w:type="dxa"/>
            <w:vAlign w:val="bottom"/>
            <w:gridSpan w:val="2"/>
          </w:tcPr>
          <w:p>
            <w:pPr>
              <w:jc w:val="center"/>
              <w:ind w:left="401"/>
              <w:spacing w:after="0"/>
              <w:rPr>
                <w:sz w:val="20"/>
                <w:szCs w:val="20"/>
                <w:color w:val="auto"/>
              </w:rPr>
            </w:pPr>
            <w:r>
              <w:rPr>
                <w:rFonts w:ascii="Times New Roman" w:cs="Times New Roman" w:eastAsia="Times New Roman" w:hAnsi="Times New Roman"/>
                <w:sz w:val="20"/>
                <w:szCs w:val="20"/>
                <w:color w:val="auto"/>
                <w:w w:val="95"/>
              </w:rPr>
              <w:t>11.5486</w:t>
            </w:r>
          </w:p>
        </w:tc>
        <w:tc>
          <w:tcPr>
            <w:tcW w:w="640" w:type="dxa"/>
            <w:vAlign w:val="bottom"/>
          </w:tcPr>
          <w:p>
            <w:pPr>
              <w:spacing w:after="0"/>
              <w:rPr>
                <w:sz w:val="21"/>
                <w:szCs w:val="21"/>
                <w:color w:val="auto"/>
              </w:rPr>
            </w:pPr>
          </w:p>
        </w:tc>
        <w:tc>
          <w:tcPr>
            <w:tcW w:w="2100" w:type="dxa"/>
            <w:vAlign w:val="bottom"/>
            <w:gridSpan w:val="3"/>
          </w:tcPr>
          <w:p>
            <w:pPr>
              <w:jc w:val="center"/>
              <w:ind w:left="561"/>
              <w:spacing w:after="0"/>
              <w:rPr>
                <w:sz w:val="20"/>
                <w:szCs w:val="20"/>
                <w:color w:val="auto"/>
              </w:rPr>
            </w:pPr>
            <w:r>
              <w:rPr>
                <w:rFonts w:ascii="Times New Roman" w:cs="Times New Roman" w:eastAsia="Times New Roman" w:hAnsi="Times New Roman"/>
                <w:sz w:val="20"/>
                <w:szCs w:val="20"/>
                <w:color w:val="auto"/>
                <w:w w:val="98"/>
              </w:rPr>
              <w:t>11.4000 - 12.0100</w:t>
            </w:r>
          </w:p>
        </w:tc>
      </w:tr>
      <w:tr>
        <w:trPr>
          <w:trHeight w:val="243"/>
        </w:trPr>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09/24/2025</w:t>
            </w:r>
          </w:p>
        </w:tc>
        <w:tc>
          <w:tcPr>
            <w:tcW w:w="660" w:type="dxa"/>
            <w:vAlign w:val="bottom"/>
          </w:tcPr>
          <w:p>
            <w:pPr>
              <w:spacing w:after="0"/>
              <w:rPr>
                <w:sz w:val="21"/>
                <w:szCs w:val="21"/>
                <w:color w:val="auto"/>
              </w:rPr>
            </w:pPr>
          </w:p>
        </w:tc>
        <w:tc>
          <w:tcPr>
            <w:tcW w:w="2700" w:type="dxa"/>
            <w:vAlign w:val="bottom"/>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5"/>
              </w:rPr>
              <w:t>(3,363)</w:t>
            </w:r>
          </w:p>
        </w:tc>
        <w:tc>
          <w:tcPr>
            <w:tcW w:w="500" w:type="dxa"/>
            <w:vAlign w:val="bottom"/>
          </w:tcPr>
          <w:p>
            <w:pPr>
              <w:spacing w:after="0"/>
              <w:rPr>
                <w:sz w:val="21"/>
                <w:szCs w:val="21"/>
                <w:color w:val="auto"/>
              </w:rPr>
            </w:pPr>
          </w:p>
        </w:tc>
        <w:tc>
          <w:tcPr>
            <w:tcW w:w="2080" w:type="dxa"/>
            <w:vAlign w:val="bottom"/>
            <w:gridSpan w:val="2"/>
          </w:tcPr>
          <w:p>
            <w:pPr>
              <w:jc w:val="center"/>
              <w:ind w:left="401"/>
              <w:spacing w:after="0"/>
              <w:rPr>
                <w:sz w:val="20"/>
                <w:szCs w:val="20"/>
                <w:color w:val="auto"/>
              </w:rPr>
            </w:pPr>
            <w:r>
              <w:rPr>
                <w:rFonts w:ascii="Times New Roman" w:cs="Times New Roman" w:eastAsia="Times New Roman" w:hAnsi="Times New Roman"/>
                <w:sz w:val="20"/>
                <w:szCs w:val="20"/>
                <w:color w:val="auto"/>
                <w:w w:val="95"/>
              </w:rPr>
              <w:t>11.1836</w:t>
            </w:r>
          </w:p>
        </w:tc>
        <w:tc>
          <w:tcPr>
            <w:tcW w:w="640" w:type="dxa"/>
            <w:vAlign w:val="bottom"/>
          </w:tcPr>
          <w:p>
            <w:pPr>
              <w:spacing w:after="0"/>
              <w:rPr>
                <w:sz w:val="21"/>
                <w:szCs w:val="21"/>
                <w:color w:val="auto"/>
              </w:rPr>
            </w:pPr>
          </w:p>
        </w:tc>
        <w:tc>
          <w:tcPr>
            <w:tcW w:w="2100" w:type="dxa"/>
            <w:vAlign w:val="bottom"/>
            <w:gridSpan w:val="3"/>
          </w:tcPr>
          <w:p>
            <w:pPr>
              <w:jc w:val="center"/>
              <w:ind w:left="561"/>
              <w:spacing w:after="0"/>
              <w:rPr>
                <w:sz w:val="20"/>
                <w:szCs w:val="20"/>
                <w:color w:val="auto"/>
              </w:rPr>
            </w:pPr>
            <w:r>
              <w:rPr>
                <w:rFonts w:ascii="Times New Roman" w:cs="Times New Roman" w:eastAsia="Times New Roman" w:hAnsi="Times New Roman"/>
                <w:sz w:val="20"/>
                <w:szCs w:val="20"/>
                <w:color w:val="auto"/>
                <w:w w:val="98"/>
              </w:rPr>
              <w:t>11.0000 - 11.6800</w:t>
            </w:r>
          </w:p>
        </w:tc>
      </w:tr>
      <w:tr>
        <w:trPr>
          <w:trHeight w:val="243"/>
        </w:trPr>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10/20/2025</w:t>
            </w:r>
          </w:p>
        </w:tc>
        <w:tc>
          <w:tcPr>
            <w:tcW w:w="660" w:type="dxa"/>
            <w:vAlign w:val="bottom"/>
          </w:tcPr>
          <w:p>
            <w:pPr>
              <w:spacing w:after="0"/>
              <w:rPr>
                <w:sz w:val="21"/>
                <w:szCs w:val="21"/>
                <w:color w:val="auto"/>
              </w:rPr>
            </w:pPr>
          </w:p>
        </w:tc>
        <w:tc>
          <w:tcPr>
            <w:tcW w:w="2700" w:type="dxa"/>
            <w:vAlign w:val="bottom"/>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7"/>
              </w:rPr>
              <w:t>3,366</w:t>
            </w:r>
          </w:p>
        </w:tc>
        <w:tc>
          <w:tcPr>
            <w:tcW w:w="500" w:type="dxa"/>
            <w:vAlign w:val="bottom"/>
          </w:tcPr>
          <w:p>
            <w:pPr>
              <w:spacing w:after="0"/>
              <w:rPr>
                <w:sz w:val="21"/>
                <w:szCs w:val="21"/>
                <w:color w:val="auto"/>
              </w:rPr>
            </w:pPr>
          </w:p>
        </w:tc>
        <w:tc>
          <w:tcPr>
            <w:tcW w:w="2080" w:type="dxa"/>
            <w:vAlign w:val="bottom"/>
            <w:gridSpan w:val="2"/>
          </w:tcPr>
          <w:p>
            <w:pPr>
              <w:jc w:val="center"/>
              <w:ind w:left="401"/>
              <w:spacing w:after="0"/>
              <w:rPr>
                <w:sz w:val="20"/>
                <w:szCs w:val="20"/>
                <w:color w:val="auto"/>
              </w:rPr>
            </w:pPr>
            <w:r>
              <w:rPr>
                <w:rFonts w:ascii="Times New Roman" w:cs="Times New Roman" w:eastAsia="Times New Roman" w:hAnsi="Times New Roman"/>
                <w:sz w:val="20"/>
                <w:szCs w:val="20"/>
                <w:color w:val="auto"/>
                <w:w w:val="98"/>
              </w:rPr>
              <w:t>4.9500</w:t>
            </w: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8"/>
        </w:trPr>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10/21/2025</w:t>
            </w:r>
          </w:p>
        </w:tc>
        <w:tc>
          <w:tcPr>
            <w:tcW w:w="660" w:type="dxa"/>
            <w:vAlign w:val="bottom"/>
          </w:tcPr>
          <w:p>
            <w:pPr>
              <w:spacing w:after="0"/>
              <w:rPr>
                <w:sz w:val="22"/>
                <w:szCs w:val="22"/>
                <w:color w:val="auto"/>
              </w:rPr>
            </w:pPr>
          </w:p>
        </w:tc>
        <w:tc>
          <w:tcPr>
            <w:tcW w:w="2700" w:type="dxa"/>
            <w:vAlign w:val="bottom"/>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8"/>
              </w:rPr>
              <w:t>869,982</w:t>
            </w:r>
          </w:p>
        </w:tc>
        <w:tc>
          <w:tcPr>
            <w:tcW w:w="500" w:type="dxa"/>
            <w:vAlign w:val="bottom"/>
          </w:tcPr>
          <w:p>
            <w:pPr>
              <w:spacing w:after="0"/>
              <w:rPr>
                <w:sz w:val="22"/>
                <w:szCs w:val="22"/>
                <w:color w:val="auto"/>
              </w:rPr>
            </w:pPr>
          </w:p>
        </w:tc>
        <w:tc>
          <w:tcPr>
            <w:tcW w:w="2080" w:type="dxa"/>
            <w:vAlign w:val="bottom"/>
            <w:gridSpan w:val="2"/>
          </w:tcPr>
          <w:p>
            <w:pPr>
              <w:jc w:val="center"/>
              <w:ind w:left="401"/>
              <w:spacing w:after="0"/>
              <w:rPr>
                <w:sz w:val="20"/>
                <w:szCs w:val="20"/>
                <w:color w:val="auto"/>
              </w:rPr>
            </w:pPr>
            <w:r>
              <w:rPr>
                <w:rFonts w:ascii="Times New Roman" w:cs="Times New Roman" w:eastAsia="Times New Roman" w:hAnsi="Times New Roman"/>
                <w:sz w:val="20"/>
                <w:szCs w:val="20"/>
                <w:color w:val="auto"/>
                <w:w w:val="98"/>
              </w:rPr>
              <w:t>5.0883</w:t>
            </w: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8"/>
              </w:rPr>
              <w:t>4.7900 – 5.2000</w:t>
            </w:r>
          </w:p>
        </w:tc>
      </w:tr>
    </w:tbl>
    <w:p>
      <w:pPr>
        <w:sectPr>
          <w:pgSz w:w="11900" w:h="16838" w:orient="portrait"/>
          <w:cols w:equalWidth="0" w:num="1">
            <w:col w:w="11240"/>
          </w:cols>
          <w:pgMar w:left="320" w:top="11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99.1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Joint Filing Agreement, dated October 23, 2025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PURSUANT TO RULE 13d-1(k)</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13D is filed on behalf of each of the undersigned and that all subsequent amendments to such statement on Schedule 13D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 except to the extent that he or it knows that such information is inaccurate.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October 23,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LYNX1 CAPITAL MANAGEMENT 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Lynx1 Capital Management GP LLC,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Weston Nichols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004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Weston Nichols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Sole Member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Weston Nichols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004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WESTON NICHOLS</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6"/>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6"/>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2025-10-23T18:54:44Z</dcterms:created>
  <dcterms:modified xsi:type="dcterms:W3CDTF">2025-10-23T18:54:44Z</dcterms:modified>
</cp:coreProperties>
</file>