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8"/>
        </w:rPr>
      </w:pPr>
      <w:bookmarkStart w:id="0" w:name="ny20055722x1_def14a_100-regcov_pg1"/>
      <w:bookmarkStart w:id="1" w:name="ny20081637x2_defa14a.htm"/>
      <w:bookmarkStart w:id="2" w:name="ksny20081637x2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8"/>
        </w:rPr>
        <w:t xml:space="preserve">U.S. SECURITIES AND EXCHANGE COMMISSION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37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 xml:space="preserve">INFORMATION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Proxy Statement Pursuant to Section 14(a) of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the Securities Exchange Act of 1934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the Registrant ☒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Filed by a Party other than the Registrant  ☐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Check the appropriate box: </w:t>
      </w:r>
    </w:p>
    <w:tbl>
      <w:tblPr>
        <w:tblW w:w="26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39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68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57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5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Confidential, for Use of the Commission Only (as permitted by Rule 14a-6(e)(2)) </w:t>
            </w:r>
          </w:p>
        </w:tc>
      </w:tr>
    </w:tbl>
    <w:tbl>
      <w:tblPr>
        <w:tblW w:w="25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27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8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63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6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3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68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6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Soliciting Material under §240. Rule 14a-12 </w:t>
            </w:r>
          </w:p>
        </w:tc>
      </w:tr>
    </w:tbl>
    <w:p>
      <w:pPr>
        <w:pStyle w:val="TextBody"/>
        <w:bidi w:val="0"/>
        <w:spacing w:before="305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2381250" cy="466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410" w:after="283"/>
        <w:jc w:val="center"/>
        <w:rPr>
          <w:color w:val="000000"/>
        </w:rPr>
      </w:pPr>
      <w:r>
        <w:rPr>
          <w:color w:val="000000"/>
        </w:rPr>
        <w:t> </w:t>
      </w:r>
      <w:r>
        <w:rPr>
          <w:rFonts w:ascii="Times New Roman;Times;serif" w:hAnsi="Times New Roman;Times;serif"/>
          <w:b/>
          <w:color w:val="000000"/>
          <w:sz w:val="36"/>
        </w:rPr>
        <w:t xml:space="preserve">Neuphoria Therapeutics Inc.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130" w:after="283"/>
        <w:ind w:left="0" w:right="0" w:hanging="0"/>
        <w:jc w:val="left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Payment of Filing Fee (Check all boxes that apply): </w:t>
      </w:r>
    </w:p>
    <w:tbl>
      <w:tblPr>
        <w:tblW w:w="15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3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No fee required </w:t>
            </w:r>
          </w:p>
        </w:tc>
      </w:tr>
    </w:tbl>
    <w:tbl>
      <w:tblPr>
        <w:tblW w:w="41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84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8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paid previously with preliminary materials </w:t>
            </w:r>
          </w:p>
        </w:tc>
      </w:tr>
    </w:tbl>
    <w:tbl>
      <w:tblPr>
        <w:tblW w:w="85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2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computed on table in exhibit required by Item 25(b) per Exchange Act Rules 14a-6(i)(1) and 0-11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left"/>
        <w:rPr>
          <w:color w:val="000000"/>
        </w:rPr>
      </w:pPr>
      <w:r>
        <w:rPr>
          <w:color w:val="000000"/>
        </w:rPr>
        <w:drawing>
          <wp:inline distT="0" distB="0" distL="0" distR="0">
            <wp:extent cx="7048500" cy="91154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048500" cy="91154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4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725</Characters>
  <CharactersWithSpaces>860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