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9146-8k_neuphoria.htm"/>
      <w:bookmarkStart w:id="1" w:name="ksea03091468k_neuphoria"/>
      <w:bookmarkEnd w:id="0"/>
      <w:bookmarkEnd w:id="1"/>
      <w:r>
        <w:rPr>
          <w:bdr w:val="single" w:sz="16" w:space="1" w:color="000000"/>
        </w:rPr>
        <w:t> </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FORM </w:t>
      </w:r>
      <w:bookmarkStart w:id="2" w:name="xdx_900_edei--DocumentType_c20261023__20"/>
      <w:bookmarkEnd w:id="2"/>
      <w:r>
        <w:rPr>
          <w:rFonts w:ascii="Times New Roman;Times;Serif" w:hAnsi="Times New Roman;Times;Serif"/>
          <w:b/>
          <w:i w:val="false"/>
          <w:caps/>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CURRENT REPORT</w:t>
        <w:br/>
        <w:t>PURSUANT TO SECTION 13 OR 15(d) OF</w:t>
        <w:br/>
        <w:t>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23, 2026</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Neuphoria Therapeutics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28" w:type="dxa"/>
          <w:right w:w="0" w:type="dxa"/>
        </w:tblCellMar>
      </w:tblPr>
      <w:tblGrid>
        <w:gridCol w:w="2225"/>
        <w:gridCol w:w="60"/>
        <w:gridCol w:w="1535"/>
      </w:tblGrid>
      <w:tr>
        <w:trPr/>
        <w:tc>
          <w:tcPr>
            <w:tcW w:w="22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1023"/>
            <w:bookmarkEnd w:id="6"/>
            <w:r>
              <w:rPr>
                <w:rFonts w:ascii="Times New Roman;Times;Serif" w:hAnsi="Times New Roman;Times;Serif"/>
                <w:b/>
                <w:sz w:val="20"/>
              </w:rPr>
              <w:t>001-41157</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99-3845449</w:t>
            </w:r>
          </w:p>
        </w:tc>
      </w:tr>
      <w:tr>
        <w:trPr/>
        <w:tc>
          <w:tcPr>
            <w:tcW w:w="22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28" w:type="dxa"/>
          <w:right w:w="0" w:type="dxa"/>
        </w:tblCellMar>
      </w:tblPr>
      <w:tblGrid>
        <w:gridCol w:w="4220"/>
        <w:gridCol w:w="60"/>
        <w:gridCol w:w="920"/>
      </w:tblGrid>
      <w:tr>
        <w:trPr/>
        <w:tc>
          <w:tcPr>
            <w:tcW w:w="42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8" w:name="xdx_909_edei--EntityAddressAddressLine1_"/>
            <w:bookmarkEnd w:id="8"/>
            <w:r>
              <w:rPr>
                <w:rFonts w:ascii="Times New Roman;Times;Serif" w:hAnsi="Times New Roman;Times;Serif"/>
                <w:b/>
                <w:sz w:val="20"/>
              </w:rPr>
              <w:t xml:space="preserve">14 Milliston Road, </w:t>
            </w:r>
            <w:bookmarkStart w:id="9" w:name="xdx_90E_edei--EntityAddressAddressLine2_"/>
            <w:bookmarkEnd w:id="9"/>
            <w:r>
              <w:rPr>
                <w:rFonts w:ascii="Times New Roman;Times;Serif" w:hAnsi="Times New Roman;Times;Serif"/>
                <w:b/>
                <w:sz w:val="20"/>
              </w:rPr>
              <w:t xml:space="preserve">Box 195, </w:t>
            </w:r>
            <w:bookmarkStart w:id="10" w:name="xdx_906_edei--EntityAddressCityOrTown_c2"/>
            <w:bookmarkEnd w:id="10"/>
            <w:r>
              <w:rPr>
                <w:rFonts w:ascii="Times New Roman;Times;Serif" w:hAnsi="Times New Roman;Times;Serif"/>
                <w:b/>
                <w:sz w:val="20"/>
              </w:rPr>
              <w:t xml:space="preserve">Millis, </w:t>
            </w:r>
            <w:bookmarkStart w:id="11" w:name="xdx_909_edei--EntityAddressStateOrProvin"/>
            <w:bookmarkEnd w:id="11"/>
            <w:r>
              <w:rPr>
                <w:rFonts w:ascii="Times New Roman;Times;Serif" w:hAnsi="Times New Roman;Times;Serif"/>
                <w:b/>
                <w:sz w:val="20"/>
              </w:rPr>
              <w:t>Massachusetts</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7_edei--EntityAddressPostalZipCode"/>
            <w:bookmarkEnd w:id="12"/>
            <w:r>
              <w:rPr>
                <w:rFonts w:ascii="Times New Roman;Times;Serif" w:hAnsi="Times New Roman;Times;Serif"/>
                <w:b/>
                <w:sz w:val="20"/>
              </w:rPr>
              <w:t>02054</w:t>
            </w:r>
          </w:p>
        </w:tc>
      </w:tr>
      <w:tr>
        <w:trPr/>
        <w:tc>
          <w:tcPr>
            <w:tcW w:w="42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7_edei--CityAreaCode_c20261023__20"/>
      <w:bookmarkEnd w:id="13"/>
      <w:r>
        <w:rPr>
          <w:rFonts w:ascii="Times New Roman;Times;Serif" w:hAnsi="Times New Roman;Times;Serif"/>
          <w:b/>
          <w:i w:val="false"/>
          <w:caps w:val="false"/>
          <w:smallCaps w:val="false"/>
          <w:sz w:val="20"/>
        </w:rPr>
        <w:t xml:space="preserve">339) </w:t>
      </w:r>
      <w:bookmarkStart w:id="14" w:name="xdx_901_edei--LocalPhoneNumber_c20261023"/>
      <w:bookmarkEnd w:id="14"/>
      <w:r>
        <w:rPr>
          <w:rFonts w:ascii="Times New Roman;Times;Serif" w:hAnsi="Times New Roman;Times;Serif"/>
          <w:b/>
          <w:i w:val="false"/>
          <w:caps w:val="false"/>
          <w:smallCaps w:val="false"/>
          <w:sz w:val="20"/>
        </w:rPr>
        <w:t>240-6066</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725"/>
        <w:gridCol w:w="60"/>
        <w:gridCol w:w="1415"/>
        <w:gridCol w:w="60"/>
        <w:gridCol w:w="3710"/>
      </w:tblGrid>
      <w:tr>
        <w:trPr/>
        <w:tc>
          <w:tcPr>
            <w:tcW w:w="37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7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5" w:name="xdx_905_edei--Security12bTitle_c20261023"/>
            <w:bookmarkEnd w:id="15"/>
            <w:r>
              <w:rPr>
                <w:rFonts w:ascii="Times New Roman;Times;Serif" w:hAnsi="Times New Roman;Times;Serif"/>
                <w:sz w:val="20"/>
              </w:rPr>
              <w:t>Common Stock, $0.00001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6" w:name="xdx_906_edei--TradingSymbol_c20261023__2"/>
            <w:bookmarkEnd w:id="16"/>
            <w:r>
              <w:rPr>
                <w:rFonts w:ascii="Times New Roman;Times;Serif" w:hAnsi="Times New Roman;Times;Serif"/>
                <w:sz w:val="20"/>
              </w:rPr>
              <w:t>NEUP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17" w:name="xdx_904_edei--SecurityExchangeName_c2026"/>
            <w:bookmarkEnd w:id="17"/>
            <w:r>
              <w:rPr>
                <w:rFonts w:ascii="Times New Roman;Times;Serif" w:hAnsi="Times New Roman;Times;Serif"/>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 </w:t>
      </w:r>
      <w:r>
        <w:rPr>
          <w:rFonts w:ascii="Times New Roman;Times;Serif" w:hAnsi="Times New Roman;Times;Serif"/>
          <w:b w:val="false"/>
          <w:i w:val="false"/>
          <w:caps w:val="false"/>
          <w:smallCaps w:val="false"/>
          <w:sz w:val="20"/>
        </w:rPr>
        <w:t>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8" w:name="xdx_90E_edei--WrittenCommunications_c202"/>
            <w:bookmarkEnd w:id="18"/>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245"/>
        <w:gridCol w:w="5555"/>
      </w:tblGrid>
      <w:tr>
        <w:trPr/>
        <w:tc>
          <w:tcPr>
            <w:tcW w:w="245" w:type="dxa"/>
            <w:tcBorders/>
            <w:vAlign w:val="center"/>
          </w:tcPr>
          <w:p>
            <w:pPr>
              <w:pStyle w:val="TableContents"/>
              <w:bidi w:val="0"/>
              <w:spacing w:before="0" w:after="283"/>
              <w:jc w:val="left"/>
              <w:rPr/>
            </w:pPr>
            <w:bookmarkStart w:id="19" w:name="xdx_903_edei--SolicitingMaterial_c202610"/>
            <w:bookmarkEnd w:id="19"/>
            <w:r>
              <w:rPr/>
              <w:t>☐</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pPr>
            <w:bookmarkStart w:id="20" w:name="xdx_901_edei--PreCommencementTenderOffer"/>
            <w:bookmarkEnd w:id="20"/>
            <w:r>
              <w:rPr/>
              <w:t>☐</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245"/>
        <w:gridCol w:w="7130"/>
      </w:tblGrid>
      <w:tr>
        <w:trPr/>
        <w:tc>
          <w:tcPr>
            <w:tcW w:w="245" w:type="dxa"/>
            <w:tcBorders/>
            <w:vAlign w:val="center"/>
          </w:tcPr>
          <w:p>
            <w:pPr>
              <w:pStyle w:val="TableContents"/>
              <w:bidi w:val="0"/>
              <w:spacing w:before="0" w:after="283"/>
              <w:jc w:val="left"/>
              <w:rPr/>
            </w:pPr>
            <w:bookmarkStart w:id="21" w:name="xdx_90C_edei--PreCommencementIssuerTende"/>
            <w:bookmarkEnd w:id="21"/>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5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2026, the Board of Directors (the “Board”) of Neuphoria Therapeutics Inc. (“Neuphoria” or the “Company”), a Delaware corporation, entered into Amendment No. 1 (the “Amendment”) to the Rights Agreement, dated as of October 27, 2025, by and between the Company and Computershare Trust Company, N.A., as Rights Agent (the “Original Rights Agreement,” and as amended by the Amendment). Pursuant to the Amendment, the Final Expiration Date of the Original Rights Agreement has been extended until the Close of Business on October 27, 2027, unless earlier extended, modified or terminated. Capitalized terms used but not defined herein have the meanings specified in the Rights Agreement, as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in all respects subject to and governed by the provisions of the Original Rights Agreement, except as as amended by the Amendment. The above description of the Original Rights Agreement and the Amendment does not purport to be complete and is qualified in its entirety by reference to the full text of the Original Rights Agreement, which is incorporated by reference to Exhibit 4.1 to the Form 8-K filed by the Company with the U.S. Securities and Exchange Commission on October 27, 2025, and to the Amendment, which is attached hereto as Exhibit 4.2, both of which are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Modifications to Rights of Security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is incorporated into this Item 3.03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7"/>
        <w:gridCol w:w="60"/>
        <w:gridCol w:w="9378"/>
      </w:tblGrid>
      <w:tr>
        <w:trPr/>
        <w:tc>
          <w:tcPr>
            <w:tcW w:w="767"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78"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6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78"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Rights Agreement, dated as of October 27, 2025 between Neuphoria Therapeutics Inc. and Computershare Trust Company, N.A., which includes the form of Certificate of Designation as Exhibit A, the form of Right Certificate as Exhibit B (incorporated herein by reference to Exhibit 4.1 to Form 8-K filed with the SEC on October 27, 2025)</w:t>
              </w:r>
            </w:hyperlink>
          </w:p>
        </w:tc>
      </w:tr>
      <w:tr>
        <w:trPr/>
        <w:tc>
          <w:tcPr>
            <w:tcW w:w="767"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78" w:type="dxa"/>
            <w:tcBorders/>
            <w:shd w:fill="FFFFFF" w:val="clear"/>
            <w:tcMar>
              <w:bottom w:w="0" w:type="dxa"/>
            </w:tcMar>
            <w:vAlign w:val="center"/>
          </w:tcPr>
          <w:p>
            <w:pPr>
              <w:pStyle w:val="TableContents"/>
              <w:bidi w:val="0"/>
              <w:spacing w:before="0" w:after="283"/>
              <w:jc w:val="both"/>
              <w:rPr/>
            </w:pPr>
            <w:hyperlink w:anchor="ea030914601ex4-2.htm">
              <w:r>
                <w:rPr>
                  <w:rStyle w:val="InternetLink"/>
                  <w:rFonts w:ascii="Times New Roman;Times;Serif" w:hAnsi="Times New Roman;Times;Serif"/>
                  <w:sz w:val="20"/>
                </w:rPr>
                <w:t>Amendment No. 1 to Rights Agreement, dated as of October 23, 2026, by and between Neuphoria Therapeutics Inc. and Computershare Trust Company, N.A., as rights agent</w:t>
              </w:r>
            </w:hyperlink>
          </w:p>
        </w:tc>
      </w:tr>
      <w:tr>
        <w:trPr/>
        <w:tc>
          <w:tcPr>
            <w:tcW w:w="76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37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1925"/>
        <w:gridCol w:w="354"/>
        <w:gridCol w:w="2860"/>
      </w:tblGrid>
      <w:tr>
        <w:trPr/>
        <w:tc>
          <w:tcPr>
            <w:tcW w:w="192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NEUPHORIA THERAPEUTICS INC.</w:t>
            </w:r>
          </w:p>
        </w:tc>
      </w:tr>
      <w:tr>
        <w:trPr/>
        <w:tc>
          <w:tcPr>
            <w:tcW w:w="1925"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Spyridon Papapetropoulos</w:t>
            </w:r>
          </w:p>
        </w:tc>
      </w:tr>
      <w:tr>
        <w:trPr/>
        <w:tc>
          <w:tcPr>
            <w:tcW w:w="192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Spyridon Papapetropoulos</w:t>
            </w:r>
          </w:p>
        </w:tc>
      </w:tr>
      <w:tr>
        <w:trPr/>
        <w:tc>
          <w:tcPr>
            <w:tcW w:w="192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Interim Chief Executive Officer</w:t>
            </w:r>
          </w:p>
        </w:tc>
      </w:tr>
      <w:tr>
        <w:trPr/>
        <w:tc>
          <w:tcPr>
            <w:tcW w:w="1925"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23, 2026</w:t>
            </w:r>
          </w:p>
        </w:tc>
        <w:tc>
          <w:tcPr>
            <w:tcW w:w="354" w:type="dxa"/>
            <w:tcBorders/>
            <w:vAlign w:val="center"/>
          </w:tcPr>
          <w:p>
            <w:pPr>
              <w:pStyle w:val="TableContents"/>
              <w:bidi w:val="0"/>
              <w:spacing w:before="0" w:after="283"/>
              <w:jc w:val="left"/>
              <w:rPr/>
            </w:pPr>
            <w:r>
              <w:rPr/>
              <w:t> </w:t>
            </w:r>
          </w:p>
        </w:tc>
        <w:tc>
          <w:tcPr>
            <w:tcW w:w="286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30914601ex4-2.htm"/>
      <w:bookmarkStart w:id="24" w:name="ksea030914601ex42"/>
      <w:bookmarkEnd w:id="23"/>
      <w:bookmarkEnd w:id="24"/>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AMENDMENT NO. 1 TO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Amendment No. 1, dated as of October 23, 2026 (this “</w:t>
      </w:r>
      <w:r>
        <w:rPr>
          <w:rFonts w:ascii="Times New Roman;Times;Serif" w:hAnsi="Times New Roman;Times;Serif"/>
          <w:b/>
          <w:i w:val="false"/>
          <w:caps w:val="false"/>
          <w:smallCaps w:val="false"/>
          <w:sz w:val="20"/>
          <w:shd w:fill="FFFFFF" w:val="clear"/>
        </w:rPr>
        <w:t>Amendment</w:t>
      </w:r>
      <w:r>
        <w:rPr>
          <w:rFonts w:ascii="Times New Roman;Times;Serif" w:hAnsi="Times New Roman;Times;Serif"/>
          <w:b w:val="false"/>
          <w:i w:val="false"/>
          <w:caps w:val="false"/>
          <w:smallCaps w:val="false"/>
          <w:sz w:val="20"/>
          <w:shd w:fill="FFFFFF" w:val="clear"/>
        </w:rPr>
        <w:t>”), amends that certain Rights Agreement, dated as of October 27, 2025 (the “</w:t>
      </w:r>
      <w:r>
        <w:rPr>
          <w:rFonts w:ascii="Times New Roman;Times;Serif" w:hAnsi="Times New Roman;Times;Serif"/>
          <w:b/>
          <w:i w:val="false"/>
          <w:caps w:val="false"/>
          <w:smallCaps w:val="false"/>
          <w:sz w:val="20"/>
          <w:shd w:fill="FFFFFF" w:val="clear"/>
        </w:rPr>
        <w:t>Rights Agreement</w:t>
      </w:r>
      <w:r>
        <w:rPr>
          <w:rFonts w:ascii="Times New Roman;Times;Serif" w:hAnsi="Times New Roman;Times;Serif"/>
          <w:b w:val="false"/>
          <w:i w:val="false"/>
          <w:caps w:val="false"/>
          <w:smallCaps w:val="false"/>
          <w:sz w:val="20"/>
          <w:shd w:fill="FFFFFF" w:val="clear"/>
        </w:rPr>
        <w:t>”), by and between Neuphoria Therapeutics Inc., a Delaware corporation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and Computershare Trust Company, N.A. (the “</w:t>
      </w:r>
      <w:r>
        <w:rPr>
          <w:rFonts w:ascii="Times New Roman;Times;Serif" w:hAnsi="Times New Roman;Times;Serif"/>
          <w:b/>
          <w:i w:val="false"/>
          <w:caps w:val="false"/>
          <w:smallCaps w:val="false"/>
          <w:sz w:val="20"/>
          <w:shd w:fill="FFFFFF" w:val="clear"/>
        </w:rPr>
        <w:t>Rights Agent</w:t>
      </w:r>
      <w:r>
        <w:rPr>
          <w:rFonts w:ascii="Times New Roman;Times;Serif" w:hAnsi="Times New Roman;Times;Serif"/>
          <w:b w:val="false"/>
          <w:i w:val="false"/>
          <w:caps w:val="false"/>
          <w:smallCaps w:val="false"/>
          <w:sz w:val="20"/>
          <w:shd w:fill="FFFFFF" w:val="clear"/>
        </w:rPr>
        <w:t>”). Capitalized terms used herein and not otherwise defined shall have the meanings ascribed to such terms in the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Company and the Rights Agent have executed and entered into the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Section 27 of the Rights Agreement provides, among other things, that the Company may, in its sole and absolute discretion, and the Rights Agent shall, if the Company so directs, supplement or amend any provision of the Rights Agreement in any respect without the approval of any holders of Rights or Common Shares, and the Rights Agent shall, if the Company so directs, execute such supplement or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to the knowledge of the Company, as of the date hereof, the Rights are still redeemable;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the Board of Directors of the Company has: (i) deemed it advisable and in the best interests of the Company and its stockholders to amend certain provisions of the Rights Agreement as set forth herein; (ii) approved this Amendment; and (iii) authorized the proper officers of the Company to execute and deliver the same to the 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pursuant to and in accordance with Section 27 of the Rights Agreement, the Company desires to amend the Rights Agreement as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NOW, THEREFORE</w:t>
      </w:r>
      <w:r>
        <w:rPr>
          <w:rFonts w:ascii="Times New Roman;Times;Serif" w:hAnsi="Times New Roman;Times;Serif"/>
          <w:b w:val="false"/>
          <w:i w:val="false"/>
          <w:caps w:val="false"/>
          <w:smallCaps w:val="false"/>
          <w:sz w:val="20"/>
          <w:shd w:fill="FFFFFF" w:val="clear"/>
        </w:rPr>
        <w:t>, in consideration of the premises set forth above,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1.</w:t>
            </w:r>
          </w:p>
        </w:tc>
        <w:tc>
          <w:tcPr>
            <w:tcW w:w="9986" w:type="dxa"/>
            <w:tcBorders/>
            <w:vAlign w:val="center"/>
          </w:tcPr>
          <w:p>
            <w:pPr>
              <w:pStyle w:val="TableContents"/>
              <w:bidi w:val="0"/>
              <w:spacing w:before="0" w:after="283"/>
              <w:jc w:val="both"/>
              <w:rPr>
                <w:shd w:fill="FFFFFF" w:val="clear"/>
              </w:rPr>
            </w:pPr>
            <w:r>
              <w:rPr>
                <w:shd w:fill="FFFFFF" w:val="clear"/>
              </w:rPr>
              <w:t>The definition of “Final Expiration Date” set forth in Section 1(w) of the Rights Agreement is hereby amended and restated in its entirety as follows: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360" w:right="0" w:firstLine="720"/>
        <w:jc w:val="both"/>
        <w:rPr>
          <w:caps w:val="false"/>
          <w:smallCaps w:val="false"/>
          <w:shd w:fill="FFFFFF" w:val="clear"/>
        </w:rPr>
      </w:pPr>
      <w:r>
        <w:rPr>
          <w:caps w:val="false"/>
          <w:smallCaps w:val="false"/>
          <w:shd w:fill="FFFFFF" w:val="clear"/>
        </w:rPr>
        <w:t>““</w:t>
      </w:r>
      <w:r>
        <w:rPr>
          <w:rFonts w:ascii="Times New Roman;Times;Serif" w:hAnsi="Times New Roman;Times;Serif"/>
          <w:b/>
          <w:i/>
          <w:caps w:val="false"/>
          <w:smallCaps w:val="false"/>
          <w:sz w:val="20"/>
          <w:shd w:fill="FFFFFF" w:val="clear"/>
        </w:rPr>
        <w:t>Final Expiration Date</w:t>
      </w:r>
      <w:r>
        <w:rPr>
          <w:rFonts w:ascii="Times New Roman;Times;Serif" w:hAnsi="Times New Roman;Times;Serif"/>
          <w:b w:val="false"/>
          <w:i w:val="false"/>
          <w:caps w:val="false"/>
          <w:smallCaps w:val="false"/>
          <w:sz w:val="20"/>
          <w:shd w:fill="FFFFFF" w:val="clear"/>
        </w:rPr>
        <w:t>” shall mean the Close of Business on October 27, 2027.”</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2.</w:t>
            </w:r>
          </w:p>
        </w:tc>
        <w:tc>
          <w:tcPr>
            <w:tcW w:w="9969" w:type="dxa"/>
            <w:tcBorders/>
            <w:vAlign w:val="center"/>
          </w:tcPr>
          <w:p>
            <w:pPr>
              <w:pStyle w:val="TableContents"/>
              <w:bidi w:val="0"/>
              <w:spacing w:before="0" w:after="283"/>
              <w:jc w:val="both"/>
              <w:rPr>
                <w:shd w:fill="FFFFFF" w:val="clear"/>
              </w:rPr>
            </w:pPr>
            <w:r>
              <w:rPr>
                <w:shd w:fill="FFFFFF" w:val="clear"/>
              </w:rPr>
              <w:t>Exhibit B to the Rights Agreement shall be deemed amended in a manner consistent with this Amendment.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shd w:fill="FFFFFF" w:val="clear"/>
              </w:rPr>
            </w:pPr>
            <w:r>
              <w:rPr>
                <w:shd w:fill="FFFFFF" w:val="clear"/>
              </w:rPr>
              <w:t>This Amendment shall be deemed to be a contract made under the laws of the State of Delaware and for all purposes shall be governed by and construed in accordance with the laws of such State applicable to contracts to be made and performed entirely within such State, without giving effect to the choice of law or conflict of law principles thereof or of any other jurisdiction to the extent that such principles would require or permit the application of the laws of another jurisdiction.</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4.</w:t>
            </w:r>
          </w:p>
        </w:tc>
        <w:tc>
          <w:tcPr>
            <w:tcW w:w="10013" w:type="dxa"/>
            <w:tcBorders/>
            <w:vAlign w:val="center"/>
          </w:tcPr>
          <w:p>
            <w:pPr>
              <w:pStyle w:val="TableContents"/>
              <w:bidi w:val="0"/>
              <w:spacing w:before="0" w:after="283"/>
              <w:jc w:val="both"/>
              <w:rPr>
                <w:shd w:fill="FFFFFF" w:val="clear"/>
              </w:rPr>
            </w:pPr>
            <w:r>
              <w:rPr>
                <w:shd w:fill="FFFFFF" w:val="clear"/>
              </w:rPr>
              <w:t>If any term, provision, covenant, or restriction of this Amendment, or the application thereof to any circumstance, is held by a court of competent jurisdiction or other authority to be invalid, null, void, or unenforceable, the remainder of the terms, provisions, covenants, and restrictions of this Amendment shall remain in full force and effect and shall in no way be affected, impaired, or invalidated.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5.</w:t>
            </w:r>
          </w:p>
        </w:tc>
        <w:tc>
          <w:tcPr>
            <w:tcW w:w="10004" w:type="dxa"/>
            <w:tcBorders/>
            <w:vAlign w:val="center"/>
          </w:tcPr>
          <w:p>
            <w:pPr>
              <w:pStyle w:val="TableContents"/>
              <w:bidi w:val="0"/>
              <w:spacing w:before="0" w:after="283"/>
              <w:jc w:val="both"/>
              <w:rPr>
                <w:shd w:fill="FFFFFF" w:val="clear"/>
              </w:rPr>
            </w:pPr>
            <w:r>
              <w:rPr>
                <w:shd w:fill="FFFFFF" w:val="clear"/>
              </w:rPr>
              <w:t>Except as expressly set forth in this Amendment, the Rights Agreement will not otherwise be supplemented or amended by virtue of this Amendment and will remain in full force and effect and otherwise shall be unaffected by virtue of this Amendment.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6.</w:t>
            </w:r>
          </w:p>
        </w:tc>
        <w:tc>
          <w:tcPr>
            <w:tcW w:w="10013" w:type="dxa"/>
            <w:tcBorders/>
            <w:vAlign w:val="center"/>
          </w:tcPr>
          <w:p>
            <w:pPr>
              <w:pStyle w:val="TableContents"/>
              <w:bidi w:val="0"/>
              <w:spacing w:before="0" w:after="283"/>
              <w:jc w:val="both"/>
              <w:rPr>
                <w:shd w:fill="FFFFFF" w:val="clear"/>
              </w:rPr>
            </w:pPr>
            <w:r>
              <w:rPr>
                <w:shd w:fill="FFFFFF" w:val="clear"/>
              </w:rPr>
              <w:t>This Amendment may be executed in any number of counterparts, and each of such counterparts shall for all purposes be deemed to be an original, and all such counterparts shall together constitute but one and the same instrument. A signature to this Amendment executed and/or transmitted electronically shall have the same authority, effect, and enforceability as an original signature.</w:t>
            </w:r>
          </w:p>
        </w:tc>
      </w:tr>
    </w:tbl>
    <w:p>
      <w:pPr>
        <w:pStyle w:val="TextBody"/>
        <w:bidi w:val="0"/>
        <w:spacing w:before="0" w:after="0"/>
        <w:ind w:left="0" w:right="0" w:hanging="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0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6470" w:type="dxa"/>
            <w:tcBorders/>
            <w:vAlign w:val="center"/>
          </w:tcPr>
          <w:p>
            <w:pPr>
              <w:pStyle w:val="TableContents"/>
              <w:bidi w:val="0"/>
              <w:spacing w:before="0" w:after="283"/>
              <w:jc w:val="both"/>
              <w:rPr>
                <w:shd w:fill="FFFFFF" w:val="clear"/>
              </w:rPr>
            </w:pPr>
            <w:r>
              <w:rPr>
                <w:shd w:fill="FFFFFF" w:val="clear"/>
              </w:rPr>
              <w:t>This Amendment shall be effective as of the date first written above.</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8.</w:t>
            </w:r>
          </w:p>
        </w:tc>
        <w:tc>
          <w:tcPr>
            <w:tcW w:w="10014" w:type="dxa"/>
            <w:tcBorders/>
            <w:vAlign w:val="center"/>
          </w:tcPr>
          <w:p>
            <w:pPr>
              <w:pStyle w:val="TableContents"/>
              <w:bidi w:val="0"/>
              <w:spacing w:before="0" w:after="283"/>
              <w:jc w:val="both"/>
              <w:rPr>
                <w:shd w:fill="FFFFFF" w:val="clear"/>
              </w:rPr>
            </w:pPr>
            <w:r>
              <w:rPr>
                <w:shd w:fill="FFFFFF" w:val="clear"/>
              </w:rPr>
              <w:t>Upon and after the effectiveness of this Amendment, each reference in the Rights Agreement to “this Agreement,” “hereunder,” “hereof” or words of like import referring to the Rights Agreement, and each reference in any other document to “the Rights Agreement,” “thereunder,” “thereof” or words of like import referring to the Rights Agreement, shall mean and be a reference to the Rights Agreement as amended hereby.</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9.</w:t>
            </w:r>
          </w:p>
        </w:tc>
        <w:tc>
          <w:tcPr>
            <w:tcW w:w="10007" w:type="dxa"/>
            <w:tcBorders/>
            <w:vAlign w:val="center"/>
          </w:tcPr>
          <w:p>
            <w:pPr>
              <w:pStyle w:val="TableContents"/>
              <w:bidi w:val="0"/>
              <w:spacing w:before="0" w:after="283"/>
              <w:jc w:val="both"/>
              <w:rPr>
                <w:shd w:fill="FFFFFF" w:val="clear"/>
              </w:rPr>
            </w:pPr>
            <w:r>
              <w:rPr>
                <w:shd w:fill="FFFFFF" w:val="clear"/>
              </w:rPr>
              <w:t>The undersigned officer of the Company, being duly authorized on behalf of the Company, hereby certifies in his or her capacity as an officer on behalf of the Company to the Rights Agent that this Amendment is in compliance with the terms of Section 27 of the Rights Agreement.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caps w:val="false"/>
          <w:smallCaps w:val="false"/>
          <w:sz w:val="20"/>
          <w:shd w:fill="FFFFFF" w:val="clear"/>
        </w:rPr>
        <w:t>Signature Page Follows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xml:space="preserve"> this Amendment has been duly executed by the Company and the Rights Agent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750"/>
        <w:gridCol w:w="3244"/>
        <w:gridCol w:w="75"/>
      </w:tblGrid>
      <w:tr>
        <w:trPr/>
        <w:tc>
          <w:tcPr>
            <w:tcW w:w="399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NEUPHORIA THERAPEUTICS INC.</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pPr>
            <w:r>
              <w:rPr/>
              <w:t> </w:t>
            </w:r>
          </w:p>
        </w:tc>
        <w:tc>
          <w:tcPr>
            <w:tcW w:w="324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4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Spyridon Papapetropoulos</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Spyridon Papapetropoulos</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Interim CEO</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pPr>
            <w:r>
              <w:rPr/>
              <w:t> </w:t>
            </w:r>
          </w:p>
        </w:tc>
        <w:tc>
          <w:tcPr>
            <w:tcW w:w="324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994"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COMPUTERSHARE TRUST COMPANY, N.A.</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pPr>
            <w:r>
              <w:rPr/>
              <w:t> </w:t>
            </w:r>
          </w:p>
        </w:tc>
        <w:tc>
          <w:tcPr>
            <w:tcW w:w="3244"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24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Shirley Nessralla</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3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Shirley Nessralla  </w:t>
            </w:r>
          </w:p>
        </w:tc>
        <w:tc>
          <w:tcPr>
            <w:tcW w:w="75" w:type="dxa"/>
            <w:tcBorders/>
            <w:vAlign w:val="center"/>
          </w:tcPr>
          <w:p>
            <w:pPr>
              <w:pStyle w:val="TableContents"/>
              <w:bidi w:val="0"/>
              <w:spacing w:before="0" w:after="283"/>
              <w:jc w:val="both"/>
              <w:rPr/>
            </w:pPr>
            <w:r>
              <w:rPr/>
              <w:t> </w:t>
            </w:r>
          </w:p>
        </w:tc>
      </w:tr>
      <w:tr>
        <w:trPr/>
        <w:tc>
          <w:tcPr>
            <w:tcW w:w="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3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91070/000121390025102607/ea026256101ex4-1_neuphori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1454</Words>
  <Characters>7686</Characters>
  <CharactersWithSpaces>9151</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