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nox-20240930.htm"/>
      <w:bookmarkStart w:id="1" w:name="ksbnox20240930"/>
      <w:bookmarkEnd w:id="0"/>
      <w:bookmarkEnd w:id="1"/>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4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18"/>
        </w:rPr>
        <w:t>001-41157</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BIONOMICS LIMITED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528" w:type="dxa"/>
        <w:jc w:val="left"/>
        <w:tblInd w:w="0" w:type="dxa"/>
        <w:tblLayout w:type="fixed"/>
        <w:tblCellMar>
          <w:top w:w="28" w:type="dxa"/>
          <w:left w:w="28" w:type="dxa"/>
          <w:bottom w:w="28" w:type="dxa"/>
          <w:right w:w="28" w:type="dxa"/>
        </w:tblCellMar>
      </w:tblPr>
      <w:tblGrid>
        <w:gridCol w:w="2926"/>
        <w:gridCol w:w="146"/>
        <w:gridCol w:w="145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072" w:type="dxa"/>
            <w:gridSpan w:val="2"/>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Australia</w:t>
            </w:r>
          </w:p>
        </w:tc>
        <w:tc>
          <w:tcPr>
            <w:tcW w:w="145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r>
      <w:tr>
        <w:trPr/>
        <w:tc>
          <w:tcPr>
            <w:tcW w:w="292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29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18"/>
              </w:rPr>
            </w:pPr>
            <w:r>
              <w:rPr>
                <w:rFonts w:ascii="Times New Roman" w:hAnsi="Times New Roman"/>
                <w:b/>
                <w:color w:val="000000"/>
                <w:sz w:val="18"/>
              </w:rPr>
              <w:t>200 Greenhill Road</w:t>
            </w:r>
          </w:p>
        </w:tc>
        <w:tc>
          <w:tcPr>
            <w:tcW w:w="146" w:type="dxa"/>
            <w:tcBorders/>
            <w:vAlign w:val="center"/>
          </w:tcPr>
          <w:p>
            <w:pPr>
              <w:pStyle w:val="TableContents"/>
              <w:bidi w:val="0"/>
              <w:spacing w:before="40" w:after="283"/>
              <w:jc w:val="center"/>
              <w:rPr/>
            </w:pPr>
            <w:r>
              <w:rPr/>
              <w:t> </w:t>
            </w:r>
          </w:p>
        </w:tc>
        <w:tc>
          <w:tcPr>
            <w:tcW w:w="1456" w:type="dxa"/>
            <w:tcBorders/>
            <w:vAlign w:val="center"/>
          </w:tcPr>
          <w:p>
            <w:pPr>
              <w:pStyle w:val="TableContents"/>
              <w:bidi w:val="0"/>
              <w:spacing w:before="40" w:after="283"/>
              <w:jc w:val="left"/>
              <w:rPr/>
            </w:pPr>
            <w:r>
              <w:rPr/>
              <w:t> </w:t>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Eastwood, SA</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Australia</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5063</w:t>
            </w:r>
          </w:p>
        </w:tc>
      </w:tr>
      <w:tr>
        <w:trPr/>
        <w:tc>
          <w:tcPr>
            <w:tcW w:w="292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r>
        <w:trPr/>
        <w:tc>
          <w:tcPr>
            <w:tcW w:w="4528" w:type="dxa"/>
            <w:gridSpan w:val="3"/>
            <w:tcBorders/>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18"/>
                <w:u w:val="single"/>
              </w:rPr>
              <w:t>+61</w:t>
            </w:r>
            <w:r>
              <w:rPr>
                <w:rFonts w:ascii="Times New Roman" w:hAnsi="Times New Roman"/>
                <w:color w:val="000000"/>
                <w:sz w:val="20"/>
                <w:u w:val="single"/>
              </w:rPr>
              <w:t xml:space="preserve"> </w:t>
            </w:r>
            <w:r>
              <w:rPr>
                <w:rFonts w:ascii="Times New Roman" w:hAnsi="Times New Roman"/>
                <w:b/>
                <w:color w:val="000000"/>
                <w:sz w:val="18"/>
                <w:u w:val="single"/>
              </w:rPr>
              <w:t>8 8150 7400</w:t>
            </w:r>
          </w:p>
        </w:tc>
      </w:tr>
      <w:tr>
        <w:trPr/>
        <w:tc>
          <w:tcPr>
            <w:tcW w:w="4528" w:type="dxa"/>
            <w:gridSpan w:val="3"/>
            <w:tcBorders/>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t>
            </w:r>
            <w:r>
              <w:rPr>
                <w:rFonts w:ascii="Times New Roman" w:hAnsi="Times New Roman"/>
                <w:color w:val="000000"/>
                <w:sz w:val="18"/>
              </w:rPr>
              <w:t>Registrant’s telephone number, including area code)</w:t>
            </w:r>
          </w:p>
        </w:tc>
      </w:tr>
      <w:tr>
        <w:trPr/>
        <w:tc>
          <w:tcPr>
            <w:tcW w:w="2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145" w:type="dxa"/>
        <w:jc w:val="left"/>
        <w:tblInd w:w="0" w:type="dxa"/>
        <w:tblLayout w:type="fixed"/>
        <w:tblCellMar>
          <w:top w:w="28" w:type="dxa"/>
          <w:left w:w="28" w:type="dxa"/>
          <w:bottom w:w="28" w:type="dxa"/>
          <w:right w:w="28" w:type="dxa"/>
        </w:tblCellMar>
      </w:tblPr>
      <w:tblGrid>
        <w:gridCol w:w="2161"/>
        <w:gridCol w:w="146"/>
        <w:gridCol w:w="751"/>
        <w:gridCol w:w="146"/>
        <w:gridCol w:w="294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216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American Depositary Shares</w:t>
            </w:r>
          </w:p>
        </w:tc>
        <w:tc>
          <w:tcPr>
            <w:tcW w:w="14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BNOX</w:t>
            </w:r>
          </w:p>
        </w:tc>
        <w:tc>
          <w:tcPr>
            <w:tcW w:w="146" w:type="dxa"/>
            <w:tcBorders/>
            <w:vAlign w:val="center"/>
          </w:tcPr>
          <w:p>
            <w:pPr>
              <w:pStyle w:val="TableContents"/>
              <w:bidi w:val="0"/>
              <w:spacing w:before="0" w:after="283"/>
              <w:jc w:val="center"/>
              <w:rPr/>
            </w:pPr>
            <w:r>
              <w:rPr/>
              <w:t> </w:t>
            </w:r>
          </w:p>
        </w:tc>
        <w:tc>
          <w:tcPr>
            <w:tcW w:w="2941"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40" w:after="283"/>
        <w:jc w:val="left"/>
        <w:rPr>
          <w:rFonts w:ascii="Times New Roman" w:hAnsi="Times New Roman"/>
          <w:sz w:val="20"/>
        </w:rPr>
      </w:pPr>
      <w:r>
        <w:rPr>
          <w:rFonts w:ascii="Times New Roman" w:hAnsi="Times New Roman"/>
          <w:color w:val="000000"/>
          <w:sz w:val="18"/>
        </w:rPr>
        <w:t>The American Depositary Shares represent the registrant’s ordinary shares trading on The Nasdaq Global Market, with each ADS representing 180 Ordinary Shares. As of October 31, 2024, the registrant had 3,514,922,864</w:t>
      </w:r>
      <w:r>
        <w:rPr>
          <w:rFonts w:ascii="Times New Roman" w:hAnsi="Times New Roman"/>
          <w:color w:val="000000"/>
          <w:sz w:val="20"/>
        </w:rPr>
        <w:t xml:space="preserve"> </w:t>
      </w:r>
      <w:r>
        <w:rPr>
          <w:rFonts w:ascii="Times New Roman" w:hAnsi="Times New Roman"/>
          <w:color w:val="000000"/>
          <w:sz w:val="18"/>
        </w:rPr>
        <w:t>ordinary shares, no par value per share, issued and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886"/>
        <w:gridCol w:w="757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5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sis_of_presentation">
              <w:r>
                <w:rPr>
                  <w:rStyle w:val="InternetLink"/>
                  <w:rFonts w:ascii="Times New Roman" w:hAnsi="Times New Roman"/>
                  <w:color w:val="0000FF"/>
                  <w:sz w:val="20"/>
                  <w:u w:val="single"/>
                </w:rPr>
                <w:t>Basis of Presentation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condensed_consolidated_financial">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and_other_comprehensive_inco">
              <w:r>
                <w:rPr>
                  <w:rStyle w:val="InternetLink"/>
                  <w:rFonts w:ascii="Times New Roman" w:hAnsi="Times New Roman"/>
                  <w:color w:val="0000FF"/>
                  <w:sz w:val="20"/>
                  <w:u w:val="single"/>
                </w:rPr>
                <w:t>Condensed Consolidated Statements of Operations and Other Comprehensive Income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Condensed Consolidated Statement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densed_consolidated_financial_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5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4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basis_of_presentation"/>
      <w:bookmarkEnd w:id="2"/>
      <w:r>
        <w:rPr>
          <w:rFonts w:ascii="Times New Roman" w:hAnsi="Times New Roman"/>
          <w:b/>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color w:val="000000"/>
          <w:sz w:val="20"/>
        </w:rPr>
        <w:t>Bionomics Limited (“</w:t>
      </w:r>
      <w:r>
        <w:rPr>
          <w:rFonts w:ascii="Times New Roman" w:hAnsi="Times New Roman"/>
          <w:b/>
          <w:color w:val="000000"/>
          <w:sz w:val="20"/>
        </w:rPr>
        <w:t>Bionomics</w:t>
      </w:r>
      <w:r>
        <w:rPr>
          <w:rFonts w:ascii="Times New Roman" w:hAnsi="Times New Roman"/>
          <w:color w:val="000000"/>
          <w:sz w:val="20"/>
        </w:rPr>
        <w:t>”) is an Australian company that was incorporated in 1996 and, until June 30, 2024, qualified as a “foreign private issuer” (as defined in Rule 405 under the U.S. Securities Act of 1933). On July 1, 2024, Bionomics began reporting as a domestic issuer under the U.S. Securities Exchange Act of 1934, including the preparation of an annual report on Form 10-K and quarterly reports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or the context implies otherwise:</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we,” “us,” or “our” refers to Bionomics Limited, an Australian corporation, and its consolidated subsidiaries;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shares” or “ordinary shares” refers to our ordinary shares;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ADSs” refers to American Depositary Shares, each of which represents 180 ordinary shares; and</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ADRs” refers to American Depositary Receipts, which evidence the ADSs.</w:t>
      </w:r>
    </w:p>
    <w:p>
      <w:pPr>
        <w:pStyle w:val="TextBody"/>
        <w:bidi w:val="0"/>
        <w:spacing w:before="120" w:after="283"/>
        <w:jc w:val="left"/>
        <w:rPr>
          <w:rFonts w:ascii="Times New Roman" w:hAnsi="Times New Roman"/>
          <w:sz w:val="20"/>
        </w:rPr>
      </w:pPr>
      <w:r>
        <w:rPr>
          <w:rFonts w:ascii="Times New Roman" w:hAnsi="Times New Roman"/>
          <w:color w:val="000000"/>
          <w:sz w:val="20"/>
        </w:rPr>
        <w:t>We use our registered and unregistered trademarks, including Bionomics</w:t>
      </w:r>
      <w:r>
        <w:rPr>
          <w:rFonts w:ascii="Times New Roman" w:hAnsi="Times New Roman"/>
          <w:color w:val="000000"/>
          <w:sz w:val="13"/>
        </w:rPr>
        <w:t></w:t>
      </w:r>
      <w:r>
        <w:rPr>
          <w:rFonts w:ascii="Times New Roman" w:hAnsi="Times New Roman"/>
          <w:color w:val="000000"/>
          <w:sz w:val="20"/>
        </w:rPr>
        <w:t xml:space="preserve">, in this this Quarterly Report on Form 10-Q (the “Quarterly </w:t>
      </w:r>
      <w:r>
        <w:rPr>
          <w:rFonts w:ascii="Times New Roman" w:hAnsi="Times New Roman"/>
          <w:b/>
          <w:color w:val="000000"/>
          <w:sz w:val="20"/>
        </w:rPr>
        <w:t>Report</w:t>
      </w:r>
      <w:r>
        <w:rPr>
          <w:rFonts w:ascii="Times New Roman" w:hAnsi="Times New Roman"/>
          <w:color w:val="000000"/>
          <w:sz w:val="20"/>
        </w:rPr>
        <w:t xml:space="preserve">”). This Quarterly Report also includes trademarks, tradenames and service marks that are the property of other organizations. Solely for convenience, trademarks and tradenames referred to in this Quarterly Report appear without the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w:t>
      </w:r>
      <w:r>
        <w:rPr>
          <w:rFonts w:ascii="Times New Roman" w:hAnsi="Times New Roman"/>
          <w:color w:val="000000"/>
          <w:sz w:val="20"/>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reporting and functional currency is currently the U.S. dollar and was previously the Australian dollar. All references to “$” and “US$” in this Quarterly Report mean U.S. dollars. All references to “A$” in this Quarterly Report mean Australian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fiscal year end is June 30. References to a particular “fiscal year” are to our fiscal year ended June 30 of that calendar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the condensed consolidated financial statements and related notes incorporated by reference in this Quarterly Report have been prepared in accordance with generally accepted accounting principles in the United States of America (“GAAP”) and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regain and maintain compliance with the continued listing requirements of The Nasdaq Stock Market LLC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operating history and need for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focus of our clinical trials and preclinical studies, and the reporting of data from those trials and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any product candidates, including the geographic areas of focus and sales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opportunity and competitive landscape for our product candidates, including our estimates of the number of patients who suffer from the conditions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initiation and completion, and the progress of our drug discovery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for our product candidates for various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development of our product candidates, including additional indications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Australia, Europe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any pandemic that could adversely impact our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maintain, protect and enforce our intellectual property rights and our proprietary technologies, including extensions of existing patent terms where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regarding any collaboration, licensing or other arrangements that may be necessary or desirable to develop, manufacture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the impact of a fluctuating currency exchange on these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risks and any failure to maintain the confidentiality, integrity and availability of our computer hardware, software and internet applications and related tools and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are discussed more fully under the caption “Risk Factors” in our filings with the SEC, including in Part I, Item 1A. “Risk Factors” of our Annual Report on Form 10-K for the year ended June 30, 2024 and in Part II, Item 1A. “Risk Factors” of this Quarterly Report on Form 10-Q. Accordingly, you should not place undue reliance on forward-looking statements. To the extent permitted by applicable law, we expressly disclaim any intent or obligation to update any forward-looking statements to reflect subsequent events or circumstances. We operate in an evolving environment and new risk factors and uncertainties may emerge from time to time. As a result of these factors, we cannot assure you that the forward-looking statements in this report will prove to be 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review the factors and risks and other information we describe in the reports we will file from time to time with the SEC. Should one or more of these risks or uncertainties materialize, or should any of our assumptions prove incorrect, actual results may vary in material respect from those projected in these forward-looking statements. We undertake no obligation to update or revise any forward-looking statements, whether as a result of new information, future events or otherwise, except as may be required under applicable securities laws. Although we undertake no obligation to revise or update any forward-looking statements in this Quarterly Report, whether as a result of new information, future events or otherwise, you are advised to consult any additional disclosures that we may make directly to you or through reports that we may file in the future with the SEC, including Annual Reports on Form 10-K, Quarterly Reports on Form 10-Q and Current Reports on Form 8-K.</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5" w:name="item1_condensed_consolidated_financial"/>
      <w:bookmarkEnd w:id="5"/>
      <w:r>
        <w:rPr>
          <w:rFonts w:ascii="Times New Roman" w:hAnsi="Times New Roman"/>
          <w:b/>
          <w:color w:val="000000"/>
          <w:sz w:val="20"/>
        </w:rPr>
        <w:t>Item 1. Condensed Consolidated Financial Statements.</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Bionomics Limited</w:t>
      </w:r>
    </w:p>
    <w:p>
      <w:pPr>
        <w:pStyle w:val="TextBody"/>
        <w:bidi w:val="0"/>
        <w:jc w:val="center"/>
        <w:rPr>
          <w:rFonts w:ascii="Times New Roman" w:hAnsi="Times New Roman"/>
          <w:b/>
          <w:color w:val="000000"/>
          <w:sz w:val="20"/>
        </w:rPr>
      </w:pPr>
      <w:bookmarkStart w:id="6" w:name="balance_sheets"/>
      <w:bookmarkEnd w:id="6"/>
      <w:r>
        <w:rPr>
          <w:rFonts w:ascii="Times New Roman" w:hAnsi="Times New Roman"/>
          <w:b/>
          <w:color w:val="000000"/>
          <w:sz w:val="20"/>
        </w:rPr>
        <w:t>Condensed Consolidated Balance Sheets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2"/>
        <w:gridCol w:w="146"/>
        <w:gridCol w:w="211"/>
        <w:gridCol w:w="1201"/>
        <w:gridCol w:w="166"/>
        <w:gridCol w:w="146"/>
        <w:gridCol w:w="211"/>
        <w:gridCol w:w="1201"/>
        <w:gridCol w:w="611"/>
      </w:tblGrid>
      <w:tr>
        <w:trPr/>
        <w:tc>
          <w:tcPr>
            <w:tcW w:w="6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shd w:fill="FFFFFF" w:val="clear"/>
            <w:vAlign w:val="center"/>
          </w:tcPr>
          <w:p>
            <w:pPr>
              <w:pStyle w:val="TableContents"/>
              <w:bidi w:val="0"/>
              <w:spacing w:before="0" w:after="283"/>
              <w:jc w:val="center"/>
              <w:rPr/>
            </w:pPr>
            <w:r>
              <w:rPr/>
              <w:t> </w:t>
            </w:r>
          </w:p>
        </w:tc>
      </w:tr>
      <w:tr>
        <w:trPr/>
        <w:tc>
          <w:tcPr>
            <w:tcW w:w="63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3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12,608,109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non-trade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insurance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13,193,758</w:t>
            </w:r>
          </w:p>
        </w:tc>
        <w:tc>
          <w:tcPr>
            <w:tcW w:w="611" w:type="dxa"/>
            <w:tcBorders/>
            <w:shd w:fill="FFFFFF" w:val="cle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5,467,522</w:t>
            </w:r>
          </w:p>
        </w:tc>
        <w:tc>
          <w:tcPr>
            <w:tcW w:w="611" w:type="dxa"/>
            <w:tcBorders/>
            <w:shd w:fill="FFFFFF" w:val="cle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216,975</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78,826</w:t>
            </w:r>
          </w:p>
        </w:tc>
        <w:tc>
          <w:tcPr>
            <w:tcW w:w="611" w:type="dxa"/>
            <w:tcBorders/>
            <w:shd w:fill="FFFFFF" w:val="cle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8,690,018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27,649,093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2,243,662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1,463,421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1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2,551,713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3,829,073</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117,628</w:t>
            </w:r>
          </w:p>
        </w:tc>
        <w:tc>
          <w:tcPr>
            <w:tcW w:w="611" w:type="dxa"/>
            <w:tcBorders/>
            <w:shd w:fill="FFFFFF" w:val="cle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963,540</w:t>
            </w:r>
          </w:p>
        </w:tc>
        <w:tc>
          <w:tcPr>
            <w:tcW w:w="611" w:type="dxa"/>
            <w:tcBorders/>
            <w:shd w:fill="FFFFFF" w:val="cle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Accompanying warrants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10,158,721</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no par value; 3,117,662,864 and 2,384,539,964 shares issued and</w:t>
              <w:br/>
              <w:t>   outstanding at September 30, 2024 and June 30, 2024,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vAlign w:val="center"/>
          </w:tcPr>
          <w:p>
            <w:pPr>
              <w:pStyle w:val="TableContents"/>
              <w:bidi w:val="0"/>
              <w:spacing w:before="0" w:after="283"/>
              <w:jc w:val="left"/>
              <w:rPr/>
            </w:pPr>
            <w:r>
              <w:rPr/>
              <w:t> </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198,280,436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198,481,038</w:t>
            </w:r>
          </w:p>
        </w:tc>
        <w:tc>
          <w:tcPr>
            <w:tcW w:w="611" w:type="dxa"/>
            <w:tcBorders/>
            <w:shd w:fill="CFF0FC" w:val="clear"/>
            <w:vAlign w:val="center"/>
          </w:tcPr>
          <w:p>
            <w:pPr>
              <w:pStyle w:val="TableContents"/>
              <w:bidi w:val="0"/>
              <w:spacing w:before="0" w:after="283"/>
              <w:jc w:val="left"/>
              <w:rPr/>
            </w:pPr>
            <w:r>
              <w:rPr/>
              <w:t> </w:t>
            </w:r>
          </w:p>
        </w:tc>
      </w:tr>
      <w:tr>
        <w:trPr/>
        <w:tc>
          <w:tcPr>
            <w:tcW w:w="6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(2,428,214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(3,013,595</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(178,781,858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(177,977,071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17,490,372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27,649,093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Bionomics Limited</w:t>
      </w:r>
    </w:p>
    <w:p>
      <w:pPr>
        <w:pStyle w:val="TextBody"/>
        <w:bidi w:val="0"/>
        <w:jc w:val="center"/>
        <w:rPr>
          <w:rFonts w:ascii="Times New Roman" w:hAnsi="Times New Roman"/>
          <w:sz w:val="20"/>
        </w:rPr>
      </w:pPr>
      <w:bookmarkStart w:id="7" w:name="operations_and_other_comprehensive_inco"/>
      <w:bookmarkEnd w:id="7"/>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Operations and Other Comprehensive Income (Loss) (Unaudited)</w:t>
      </w:r>
    </w:p>
    <w:p>
      <w:pPr>
        <w:pStyle w:val="TextBody"/>
        <w:bidi w:val="0"/>
        <w:jc w:val="left"/>
        <w:rPr/>
      </w:pPr>
      <w:r>
        <w:rPr/>
        <w:t> </w:t>
      </w:r>
    </w:p>
    <w:tbl>
      <w:tblPr>
        <w:tblW w:w="9805" w:type="dxa"/>
        <w:jc w:val="left"/>
        <w:tblInd w:w="0" w:type="dxa"/>
        <w:tblLayout w:type="fixed"/>
        <w:tblCellMar>
          <w:top w:w="28" w:type="dxa"/>
          <w:left w:w="28" w:type="dxa"/>
          <w:bottom w:w="28" w:type="dxa"/>
          <w:right w:w="28" w:type="dxa"/>
        </w:tblCellMar>
      </w:tblPr>
      <w:tblGrid>
        <w:gridCol w:w="5506"/>
        <w:gridCol w:w="246"/>
        <w:gridCol w:w="231"/>
        <w:gridCol w:w="1419"/>
        <w:gridCol w:w="182"/>
        <w:gridCol w:w="160"/>
        <w:gridCol w:w="231"/>
        <w:gridCol w:w="1419"/>
        <w:gridCol w:w="411"/>
      </w:tblGrid>
      <w:tr>
        <w:trPr/>
        <w:tc>
          <w:tcPr>
            <w:tcW w:w="55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center"/>
              <w:rPr/>
            </w:pPr>
            <w:r>
              <w:rPr/>
              <w:t> </w:t>
            </w:r>
          </w:p>
        </w:tc>
        <w:tc>
          <w:tcPr>
            <w:tcW w:w="3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5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1,900,903</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3,088,229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5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1,666,824</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2,379,378</w:t>
            </w:r>
          </w:p>
        </w:tc>
        <w:tc>
          <w:tcPr>
            <w:tcW w:w="411" w:type="dxa"/>
            <w:tcBorders/>
            <w:shd w:fill="CFF0FC" w:val="clear"/>
            <w:vAlign w:val="center"/>
          </w:tcPr>
          <w:p>
            <w:pPr>
              <w:pStyle w:val="TableContents"/>
              <w:bidi w:val="0"/>
              <w:spacing w:before="0" w:after="283"/>
              <w:jc w:val="left"/>
              <w:rPr/>
            </w:pPr>
            <w:r>
              <w:rPr/>
              <w:t> </w:t>
            </w:r>
          </w:p>
        </w:tc>
      </w:tr>
      <w:tr>
        <w:trPr/>
        <w:tc>
          <w:tcPr>
            <w:tcW w:w="5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FFFFFF" w:val="cle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3,567,727</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5,467,607</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(3,567,727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(5,467,607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2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5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36,096</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86,439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5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gain on foreign currency translation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(280,037</w:t>
            </w:r>
          </w:p>
        </w:tc>
        <w:tc>
          <w:tcPr>
            <w:tcW w:w="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fair value adjustments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2,874,694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(loss)</w:t>
            </w:r>
          </w:p>
        </w:tc>
        <w:tc>
          <w:tcPr>
            <w:tcW w:w="2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2,630,753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2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(936,974</w:t>
            </w:r>
          </w:p>
        </w:tc>
        <w:tc>
          <w:tcPr>
            <w:tcW w:w="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4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(5,507,361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2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(5,472,568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5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(loss) on foreign currency translation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585,381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comprehensive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585,381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2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2,808,140,743</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1,495,995,035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Bionomics Limited</w:t>
      </w:r>
    </w:p>
    <w:p>
      <w:pPr>
        <w:pStyle w:val="TextBody"/>
        <w:bidi w:val="0"/>
        <w:jc w:val="center"/>
        <w:rPr>
          <w:rFonts w:ascii="Times New Roman" w:hAnsi="Times New Roman"/>
          <w:b/>
          <w:color w:val="000000"/>
          <w:sz w:val="20"/>
        </w:rPr>
      </w:pPr>
      <w:bookmarkStart w:id="8" w:name="equity"/>
      <w:bookmarkEnd w:id="8"/>
      <w:r>
        <w:rPr>
          <w:rFonts w:ascii="Times New Roman" w:hAnsi="Times New Roman"/>
          <w:b/>
          <w:color w:val="000000"/>
          <w:sz w:val="20"/>
        </w:rPr>
        <w:t>Condensed Consolidated Statement of Changes in Shareholders' Equity (Unaudited)</w:t>
      </w:r>
    </w:p>
    <w:p>
      <w:pPr>
        <w:pStyle w:val="TextBody"/>
        <w:bidi w:val="0"/>
        <w:jc w:val="left"/>
        <w:rPr/>
      </w:pPr>
      <w:r>
        <w:rPr/>
        <w:t> </w:t>
      </w:r>
    </w:p>
    <w:tbl>
      <w:tblPr>
        <w:tblW w:w="11212" w:type="dxa"/>
        <w:jc w:val="left"/>
        <w:tblInd w:w="0" w:type="dxa"/>
        <w:tblLayout w:type="fixed"/>
        <w:tblCellMar>
          <w:top w:w="28" w:type="dxa"/>
          <w:left w:w="28" w:type="dxa"/>
          <w:bottom w:w="28" w:type="dxa"/>
          <w:right w:w="28" w:type="dxa"/>
        </w:tblCellMar>
      </w:tblPr>
      <w:tblGrid>
        <w:gridCol w:w="1171"/>
        <w:gridCol w:w="146"/>
        <w:gridCol w:w="146"/>
        <w:gridCol w:w="1141"/>
        <w:gridCol w:w="146"/>
        <w:gridCol w:w="146"/>
        <w:gridCol w:w="374"/>
        <w:gridCol w:w="317"/>
        <w:gridCol w:w="146"/>
        <w:gridCol w:w="146"/>
        <w:gridCol w:w="196"/>
        <w:gridCol w:w="886"/>
        <w:gridCol w:w="166"/>
        <w:gridCol w:w="146"/>
        <w:gridCol w:w="196"/>
        <w:gridCol w:w="1006"/>
        <w:gridCol w:w="166"/>
        <w:gridCol w:w="146"/>
        <w:gridCol w:w="220"/>
        <w:gridCol w:w="996"/>
        <w:gridCol w:w="166"/>
        <w:gridCol w:w="146"/>
        <w:gridCol w:w="196"/>
        <w:gridCol w:w="1066"/>
        <w:gridCol w:w="166"/>
        <w:gridCol w:w="146"/>
        <w:gridCol w:w="196"/>
        <w:gridCol w:w="91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2,384,539,964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198,481,038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(3,013,595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(177,977,071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17,490,372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ADS warrants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733,122,900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issue costs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(227,747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(227,747</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26,736</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585,381</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(804,787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3,117,662,864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198,280,436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(178,781,858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17,070,364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1,468,735,424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187,554,251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(3,058,783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(162,484,905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22,010,563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ADS shares, net of issuance costs of $0.5</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378,155,880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(5,648,976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6,261,514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612,538</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140,448</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(63,469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(63,469</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(5,472,568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(5,472,568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1,846,891,304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193,956,213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(167,957,473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17,227,512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Bionomics Limited</w:t>
      </w:r>
    </w:p>
    <w:p>
      <w:pPr>
        <w:pStyle w:val="TextBody"/>
        <w:bidi w:val="0"/>
        <w:jc w:val="center"/>
        <w:rPr>
          <w:rFonts w:ascii="Times New Roman" w:hAnsi="Times New Roman"/>
          <w:b/>
          <w:color w:val="000000"/>
          <w:sz w:val="20"/>
        </w:rPr>
      </w:pPr>
      <w:bookmarkStart w:id="9" w:name="cash_flow"/>
      <w:bookmarkEnd w:id="9"/>
      <w:r>
        <w:rPr>
          <w:rFonts w:ascii="Times New Roman" w:hAnsi="Times New Roman"/>
          <w:b/>
          <w:color w:val="000000"/>
          <w:sz w:val="20"/>
        </w:rPr>
        <w:t>Condensed Consolidated Statements of Cash Flows (Unaudited)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3"/>
        <w:gridCol w:w="246"/>
        <w:gridCol w:w="232"/>
        <w:gridCol w:w="1143"/>
        <w:gridCol w:w="182"/>
        <w:gridCol w:w="160"/>
        <w:gridCol w:w="232"/>
        <w:gridCol w:w="1143"/>
        <w:gridCol w:w="614"/>
      </w:tblGrid>
      <w:tr>
        <w:trPr/>
        <w:tc>
          <w:tcPr>
            <w:tcW w:w="62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253"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center"/>
              <w:rPr/>
            </w:pPr>
            <w:r>
              <w:rPr/>
              <w:t> </w:t>
            </w:r>
          </w:p>
        </w:tc>
        <w:tc>
          <w:tcPr>
            <w:tcW w:w="30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3"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vAlign w:val="center"/>
          </w:tcPr>
          <w:p>
            <w:pPr>
              <w:pStyle w:val="TableContents"/>
              <w:bidi w:val="0"/>
              <w:spacing w:before="0" w:after="283"/>
              <w:jc w:val="lef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(804,787</w:t>
            </w:r>
          </w:p>
        </w:tc>
        <w:tc>
          <w:tcPr>
            <w:tcW w:w="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(5,472,568</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vAlign w:val="center"/>
          </w:tcPr>
          <w:p>
            <w:pPr>
              <w:pStyle w:val="TableContents"/>
              <w:bidi w:val="0"/>
              <w:spacing w:before="0" w:after="283"/>
              <w:jc w:val="lef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26,736</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132,739</w:t>
            </w:r>
          </w:p>
        </w:tc>
        <w:tc>
          <w:tcPr>
            <w:tcW w:w="614" w:type="dxa"/>
            <w:tcBorders/>
            <w:shd w:fill="FFFFFF" w:val="cle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165,713</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165,909</w:t>
            </w:r>
          </w:p>
        </w:tc>
        <w:tc>
          <w:tcPr>
            <w:tcW w:w="614" w:type="dxa"/>
            <w:tcBorders/>
            <w:shd w:fill="CFF0FC" w:val="clear"/>
            <w:vAlign w:val="center"/>
          </w:tcPr>
          <w:p>
            <w:pPr>
              <w:pStyle w:val="TableContents"/>
              <w:bidi w:val="0"/>
              <w:spacing w:before="0" w:after="283"/>
              <w:jc w:val="lef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36,166</w:t>
            </w:r>
          </w:p>
        </w:tc>
        <w:tc>
          <w:tcPr>
            <w:tcW w:w="614" w:type="dxa"/>
            <w:tcBorders/>
            <w:shd w:fill="FFFFFF" w:val="cle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accompanying warrant liability</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(2,966,245</w:t>
            </w:r>
          </w:p>
        </w:tc>
        <w:tc>
          <w:tcPr>
            <w:tcW w:w="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lef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91,551</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124,558</w:t>
            </w:r>
          </w:p>
        </w:tc>
        <w:tc>
          <w:tcPr>
            <w:tcW w:w="614" w:type="dxa"/>
            <w:tcBorders/>
            <w:shd w:fill="FFFFFF" w:val="cle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remeasurement</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233,044</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67,319</w:t>
            </w:r>
          </w:p>
        </w:tc>
        <w:tc>
          <w:tcPr>
            <w:tcW w:w="614" w:type="dxa"/>
            <w:tcBorders/>
            <w:shd w:fill="CFF0FC" w:val="clear"/>
            <w:vAlign w:val="center"/>
          </w:tcPr>
          <w:p>
            <w:pPr>
              <w:pStyle w:val="TableContents"/>
              <w:bidi w:val="0"/>
              <w:spacing w:before="0" w:after="283"/>
              <w:jc w:val="lef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246" w:type="dxa"/>
            <w:tcBorders/>
            <w:shd w:fill="FFFFFF" w:val="clear"/>
            <w:vAlign w:val="center"/>
          </w:tcPr>
          <w:p>
            <w:pPr>
              <w:pStyle w:val="TableContents"/>
              <w:bidi w:val="0"/>
              <w:spacing w:before="0" w:after="283"/>
              <w:jc w:val="left"/>
              <w:rPr/>
            </w:pPr>
            <w:r>
              <w:rPr/>
              <w:t> </w:t>
            </w:r>
          </w:p>
        </w:tc>
        <w:tc>
          <w:tcPr>
            <w:tcW w:w="1375"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right"/>
              <w:rPr/>
            </w:pPr>
            <w:r>
              <w:rPr/>
              <w:t> </w:t>
            </w:r>
          </w:p>
        </w:tc>
        <w:tc>
          <w:tcPr>
            <w:tcW w:w="1375"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2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non-trade</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(16,252</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227,657</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427,316</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25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(917,668</w:t>
            </w:r>
          </w:p>
        </w:tc>
        <w:tc>
          <w:tcPr>
            <w:tcW w:w="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880,613</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25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(367,583</w:t>
            </w:r>
          </w:p>
        </w:tc>
        <w:tc>
          <w:tcPr>
            <w:tcW w:w="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(704,745</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(20,268</w:t>
            </w:r>
          </w:p>
        </w:tc>
        <w:tc>
          <w:tcPr>
            <w:tcW w:w="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(36,393</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(132,216</w:t>
            </w:r>
          </w:p>
        </w:tc>
        <w:tc>
          <w:tcPr>
            <w:tcW w:w="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(34,793</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(4,433,063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(4,429,800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vAlign w:val="center"/>
          </w:tcPr>
          <w:p>
            <w:pPr>
              <w:pStyle w:val="TableContents"/>
              <w:bidi w:val="0"/>
              <w:spacing w:before="0" w:after="283"/>
              <w:jc w:val="lef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costs associated with ADS shares and ADS pre-funded warrants</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(227,747</w:t>
            </w:r>
          </w:p>
        </w:tc>
        <w:tc>
          <w:tcPr>
            <w:tcW w:w="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pre-funded ADS warrants</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lef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ADS shares, net</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6,261,514</w:t>
            </w:r>
          </w:p>
        </w:tc>
        <w:tc>
          <w:tcPr>
            <w:tcW w:w="614" w:type="dxa"/>
            <w:tcBorders/>
            <w:shd w:fill="FFFFFF" w:val="cle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issued pursuant to a subscription receivable</w:t>
            </w:r>
          </w:p>
        </w:tc>
        <w:tc>
          <w:tcPr>
            <w:tcW w:w="2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(5,648,976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2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(227,338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612,538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changes on cash, cash equivalents, and restricted cash</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138,367</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(152,773</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(4,660,401</w:t>
            </w:r>
          </w:p>
        </w:tc>
        <w:tc>
          <w:tcPr>
            <w:tcW w:w="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(3,817,262</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12,686,935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12,181,944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8,164,901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8,211,909</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375"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246" w:type="dxa"/>
            <w:tcBorders/>
            <w:shd w:fill="FFFFFF" w:val="clear"/>
            <w:vAlign w:val="center"/>
          </w:tcPr>
          <w:p>
            <w:pPr>
              <w:pStyle w:val="TableContents"/>
              <w:bidi w:val="0"/>
              <w:spacing w:before="0" w:after="283"/>
              <w:jc w:val="left"/>
              <w:rPr/>
            </w:pPr>
            <w:r>
              <w:rPr/>
              <w:t> </w:t>
            </w:r>
          </w:p>
        </w:tc>
        <w:tc>
          <w:tcPr>
            <w:tcW w:w="1375"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right"/>
              <w:rPr/>
            </w:pPr>
            <w:r>
              <w:rPr/>
              <w:t> </w:t>
            </w:r>
          </w:p>
        </w:tc>
        <w:tc>
          <w:tcPr>
            <w:tcW w:w="1375"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8,082,410</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8,135,059</w:t>
            </w:r>
          </w:p>
        </w:tc>
        <w:tc>
          <w:tcPr>
            <w:tcW w:w="614" w:type="dxa"/>
            <w:tcBorders/>
            <w:shd w:fill="CFF0FC" w:val="clear"/>
            <w:vAlign w:val="center"/>
          </w:tcPr>
          <w:p>
            <w:pPr>
              <w:pStyle w:val="TableContents"/>
              <w:bidi w:val="0"/>
              <w:spacing w:before="0" w:after="283"/>
              <w:jc w:val="left"/>
              <w:rPr/>
            </w:pPr>
            <w:r>
              <w:rPr/>
              <w:t> </w:t>
            </w:r>
          </w:p>
        </w:tc>
      </w:tr>
      <w:tr>
        <w:trPr/>
        <w:tc>
          <w:tcPr>
            <w:tcW w:w="6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8,164,901</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8,211,909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Bionomics Limited</w:t>
      </w:r>
    </w:p>
    <w:p>
      <w:pPr>
        <w:pStyle w:val="TextBody"/>
        <w:bidi w:val="0"/>
        <w:jc w:val="center"/>
        <w:rPr>
          <w:rFonts w:ascii="Times New Roman" w:hAnsi="Times New Roman"/>
          <w:b/>
          <w:color w:val="000000"/>
          <w:sz w:val="20"/>
        </w:rPr>
      </w:pPr>
      <w:bookmarkStart w:id="10" w:name="notes_condensed_consolidated_financial_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 1. The Company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Bionomics Limited (“the Company”) is a public company incorporated in Australia. The principal activities of the Company and its controlled entities during the period include the development of novel drug candidates focused on the treatment of serious central nervous system disorders.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Details of the Company’s entity structure at the end of the reporting period are as follows:</w:t>
      </w:r>
    </w:p>
    <w:p>
      <w:pPr>
        <w:pStyle w:val="TextBody"/>
        <w:bidi w:val="0"/>
        <w:jc w:val="left"/>
        <w:rPr/>
      </w:pPr>
      <w:r>
        <w:rPr/>
        <w:t> </w:t>
      </w:r>
    </w:p>
    <w:tbl>
      <w:tblPr>
        <w:tblW w:w="5275" w:type="dxa"/>
        <w:jc w:val="left"/>
        <w:tblInd w:w="0" w:type="dxa"/>
        <w:tblLayout w:type="fixed"/>
        <w:tblCellMar>
          <w:top w:w="28" w:type="dxa"/>
          <w:left w:w="28" w:type="dxa"/>
          <w:bottom w:w="28" w:type="dxa"/>
          <w:right w:w="28" w:type="dxa"/>
        </w:tblCellMar>
      </w:tblPr>
      <w:tblGrid>
        <w:gridCol w:w="1696"/>
        <w:gridCol w:w="146"/>
        <w:gridCol w:w="976"/>
        <w:gridCol w:w="146"/>
        <w:gridCol w:w="23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Country of Incorporation</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Bionomics Limited</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Parent</w:t>
            </w:r>
          </w:p>
        </w:tc>
        <w:tc>
          <w:tcPr>
            <w:tcW w:w="146" w:type="dxa"/>
            <w:tcBorders/>
            <w:shd w:fill="CFF0FC" w:val="clear"/>
            <w:vAlign w:val="center"/>
          </w:tcPr>
          <w:p>
            <w:pPr>
              <w:pStyle w:val="TableContents"/>
              <w:bidi w:val="0"/>
              <w:spacing w:before="0" w:after="283"/>
              <w:jc w:val="center"/>
              <w:rPr/>
            </w:pPr>
            <w:r>
              <w:rPr/>
              <w:t> </w:t>
            </w:r>
          </w:p>
        </w:tc>
        <w:tc>
          <w:tcPr>
            <w:tcW w:w="23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Bionomics, Inc.</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Subsidiary</w:t>
            </w:r>
          </w:p>
        </w:tc>
        <w:tc>
          <w:tcPr>
            <w:tcW w:w="146" w:type="dxa"/>
            <w:tcBorders/>
            <w:shd w:fill="FFFFFF" w:val="clear"/>
            <w:vAlign w:val="center"/>
          </w:tcPr>
          <w:p>
            <w:pPr>
              <w:pStyle w:val="TableContents"/>
              <w:bidi w:val="0"/>
              <w:spacing w:before="0" w:after="283"/>
              <w:jc w:val="center"/>
              <w:rPr/>
            </w:pPr>
            <w:r>
              <w:rPr/>
              <w:t> </w:t>
            </w:r>
          </w:p>
        </w:tc>
        <w:tc>
          <w:tcPr>
            <w:tcW w:w="23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had working capital of $5.9 million, an accumulated deficit of $178.8 million, and cash and cash equivalents of $8.1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205-40, </w:t>
      </w:r>
      <w:r>
        <w:rPr>
          <w:rFonts w:ascii="Times New Roman" w:hAnsi="Times New Roman"/>
          <w:i/>
          <w:color w:val="000000"/>
          <w:sz w:val="20"/>
        </w:rPr>
        <w:t>Going Concern</w:t>
      </w:r>
      <w:r>
        <w:rPr>
          <w:rFonts w:ascii="Times New Roman" w:hAnsi="Times New Roman"/>
          <w:color w:val="000000"/>
          <w:sz w:val="20"/>
        </w:rPr>
        <w:t>, the Company has evaluated whether there are conditions and events, considered in the aggregate, that raise substantial doubt about the Company’s ability to continue as a going concern within one year after the date these condensed consolidated financial statements are issued. The Company incurred net losses of $0.8 million for the three months ended September 30, 2024 and $15.5 million for the year ended June 30, 2024. The Company also used $4.4 million of cash for operating activities during the three months ended September 30, 2024. Based upon the Company’s current operating plans, the Company believes that its existing cash and cash equivalents, combined with its existing ATM facility, will be sufficient to continue funding its development activities into late in the first quarter of fiscal year 2026, which is less than twelve months from the date these condensed consolidated financial statements are issued.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do not include any adjustments that might result from the outcome of this uncertainty and assumes the Company will continue as a going concern through the realization of assets and satisfaction of liabilities and commitments in the ordinary course of business. The Company plans to address this condition through the sale of ordinary shares in public offerings and/or private placements, debt financings, or through other capital sources, including collaborations with other companies or other strategic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balance sheet as of June 30, 2024 was derived from audited financial statements but does not include all disclosures required by accounting principles generally accepted in the United States of America. The accompanying condensed consolidated financial statements, as of September 30, 2024 and for the three months ended September 30, 2024, are unaudited and have been prepared by the Company pursuant to the rules and regulations of the Securities and Exchange Commission (the “SEC”) for interim financial statements. Certain information and footnote disclosures normally included in financial statements prepared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accordance with GAAP have been condensed or omitted pursuant to such rules and regulations. The Company believes that the disclosures are adequate to make the information presented not misleading. These unaudited condensed consolidated financial statements should be read in conjunction with the Company’s audited financial statements and the notes thereto for the year ended June 30, 2024 included in the Company’s Annual Report on Form 10-K for the year ended June 30, 2024 filed with the SEC on September 30, 2024. In the opinion of management, all adjustments, consisting only of normal recurring adjustments, as necessary for the fair statement of the Company’s financial position as of September 30, 2024, results of its operations for the three months ended September 30, 2024, stockholders’ equity for the three months ended September 30, 2024, and cash flows for the three months ended September 30, 2024, have been made. The results of operations for the three months ended September 30, 2024 are not necessarily indicative of the results of operations to be expected for the year ending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been classified as a foreign private issuer (“FPI”). However, as of December 31, 2023, the Company determined that it no longer satisfied the criteria to be considered an FPI. As such, beginning on July 1, 2024, the Company was required to begin utilizing the SEC’s domestic reporting forms and apply U.S. GAAP as its accounting framework. There were no material adjustments required as a result of this adjustment to retrospectively apply U.S. GAAP to the accompanying condensed consolidated financial statements. Another requirement of utilizing the SEC’s domestic reporting forms is a requirement to use the U.S. dollar as the reporting currency. These consolidated financial statements reflect the change in reporting currency to the U.S. dollar applied retrospectively. References to “$” are U.S dollars and references to “A$” are to Australian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presentation of shareholders' equity in the consolidated balance sheets at June 30, 2023, as previously reported under International Financial Reporting Standards ("IFRS") was reclassified to comply with the presentation under U.S. GAAP. The ordinary shares have no par under Australian law. The Company has elected a policy to present all proceeds from ordinary shares within additional paid-in capital.</w:t>
      </w:r>
    </w:p>
    <w:p>
      <w:pPr>
        <w:pStyle w:val="TextBody"/>
        <w:bidi w:val="0"/>
        <w:spacing w:before="12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collaboration agreements, the collectability of receivables, impairment evaluation for goodwill and intangible assets, and the fair values of contingent consideration and warrants. Actual results may differ from such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significant accounting policies during the three months ended September 30, 2024, as compared to those identified in the fiscal 2024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pStyle w:val="TextBody"/>
        <w:bidi w:val="0"/>
        <w:jc w:val="left"/>
        <w:rPr/>
      </w:pPr>
      <w:r>
        <w:rPr/>
        <w:t> </w:t>
      </w:r>
    </w:p>
    <w:tbl>
      <w:tblPr>
        <w:tblW w:w="8963" w:type="dxa"/>
        <w:jc w:val="left"/>
        <w:tblInd w:w="0" w:type="dxa"/>
        <w:tblLayout w:type="fixed"/>
        <w:tblCellMar>
          <w:top w:w="28" w:type="dxa"/>
          <w:left w:w="28" w:type="dxa"/>
          <w:bottom w:w="28" w:type="dxa"/>
          <w:right w:w="28" w:type="dxa"/>
        </w:tblCellMar>
      </w:tblPr>
      <w:tblGrid>
        <w:gridCol w:w="3596"/>
        <w:gridCol w:w="146"/>
        <w:gridCol w:w="410"/>
        <w:gridCol w:w="325"/>
        <w:gridCol w:w="146"/>
        <w:gridCol w:w="146"/>
        <w:gridCol w:w="410"/>
        <w:gridCol w:w="325"/>
        <w:gridCol w:w="146"/>
        <w:gridCol w:w="146"/>
        <w:gridCol w:w="211"/>
        <w:gridCol w:w="931"/>
        <w:gridCol w:w="146"/>
        <w:gridCol w:w="146"/>
        <w:gridCol w:w="211"/>
        <w:gridCol w:w="931"/>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679,313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Accompanying warrants liability</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83" w:type="dxa"/>
        <w:jc w:val="left"/>
        <w:tblInd w:w="0" w:type="dxa"/>
        <w:tblLayout w:type="fixed"/>
        <w:tblCellMar>
          <w:top w:w="28" w:type="dxa"/>
          <w:left w:w="28" w:type="dxa"/>
          <w:bottom w:w="28" w:type="dxa"/>
          <w:right w:w="28" w:type="dxa"/>
        </w:tblCellMar>
      </w:tblPr>
      <w:tblGrid>
        <w:gridCol w:w="3756"/>
        <w:gridCol w:w="146"/>
        <w:gridCol w:w="410"/>
        <w:gridCol w:w="325"/>
        <w:gridCol w:w="146"/>
        <w:gridCol w:w="146"/>
        <w:gridCol w:w="410"/>
        <w:gridCol w:w="325"/>
        <w:gridCol w:w="146"/>
        <w:gridCol w:w="146"/>
        <w:gridCol w:w="211"/>
        <w:gridCol w:w="931"/>
        <w:gridCol w:w="146"/>
        <w:gridCol w:w="146"/>
        <w:gridCol w:w="211"/>
        <w:gridCol w:w="931"/>
        <w:gridCol w:w="75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756" w:type="dxa"/>
            <w:tcBorders/>
            <w:shd w:fill="FFFFFF" w:val="clear"/>
            <w:vAlign w:val="center"/>
          </w:tcPr>
          <w:p>
            <w:pPr>
              <w:pStyle w:val="TableContents"/>
              <w:bidi w:val="0"/>
              <w:spacing w:before="0" w:after="283"/>
              <w:ind w:left="280" w:right="0" w:firstLine="28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756" w:type="dxa"/>
            <w:tcBorders/>
            <w:shd w:fill="CFF0FC" w:val="clear"/>
            <w:vAlign w:val="center"/>
          </w:tcPr>
          <w:p>
            <w:pPr>
              <w:pStyle w:val="TableContents"/>
              <w:bidi w:val="0"/>
              <w:spacing w:before="0" w:after="283"/>
              <w:ind w:left="280" w:right="0" w:firstLine="280"/>
              <w:jc w:val="left"/>
              <w:rPr>
                <w:rFonts w:ascii="Times New Roman" w:hAnsi="Times New Roman"/>
                <w:color w:val="000000"/>
                <w:sz w:val="20"/>
              </w:rPr>
            </w:pPr>
            <w:r>
              <w:rPr>
                <w:rFonts w:ascii="Times New Roman" w:hAnsi="Times New Roman"/>
                <w:color w:val="000000"/>
                <w:sz w:val="20"/>
              </w:rPr>
              <w:t>Accompanying warrants liability</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56" w:type="dxa"/>
            <w:tcBorders/>
            <w:shd w:fill="FFFFFF" w:val="clear"/>
            <w:vAlign w:val="center"/>
          </w:tcPr>
          <w:p>
            <w:pPr>
              <w:pStyle w:val="TableContents"/>
              <w:bidi w:val="0"/>
              <w:spacing w:before="0" w:after="283"/>
              <w:ind w:left="560" w:right="0" w:firstLine="56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5,245,594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no financial assets that are measured at fair value. The liabilities measured at fair value at September 30, 2024 and June 30, 2024 are contingent consideration and the accompanying warrant liability. The value of financial assets and other financial liabilities approximate their fair value. The following table gives information about how the fair value of the financial liability is determined.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warrants liability relates to the Company’s issuance of accompanying warrants in conjunction with a Private Placement in June 2024. The fair value of the accompanying warrants liability was based on valuations that required inputs that were both significant to the fair value measurement and unobservable. This approach resulted in a classification of the accompanying warrants liability as Level 3 of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changes in the fair value of the contingent consideration and the accompanying warrants liability, each for which each fair value was determined by Level 3 inputs:</w:t>
      </w:r>
    </w:p>
    <w:p>
      <w:pPr>
        <w:pStyle w:val="TextBody"/>
        <w:bidi w:val="0"/>
        <w:jc w:val="left"/>
        <w:rPr/>
      </w:pPr>
      <w:r>
        <w:rPr/>
        <w:t> </w:t>
      </w:r>
    </w:p>
    <w:tbl>
      <w:tblPr>
        <w:tblW w:w="6157" w:type="dxa"/>
        <w:jc w:val="left"/>
        <w:tblInd w:w="0" w:type="dxa"/>
        <w:tblLayout w:type="fixed"/>
        <w:tblCellMar>
          <w:top w:w="28" w:type="dxa"/>
          <w:left w:w="28" w:type="dxa"/>
          <w:bottom w:w="28" w:type="dxa"/>
          <w:right w:w="28" w:type="dxa"/>
        </w:tblCellMar>
      </w:tblPr>
      <w:tblGrid>
        <w:gridCol w:w="2641"/>
        <w:gridCol w:w="146"/>
        <w:gridCol w:w="277"/>
        <w:gridCol w:w="1029"/>
        <w:gridCol w:w="146"/>
        <w:gridCol w:w="146"/>
        <w:gridCol w:w="242"/>
        <w:gridCol w:w="1139"/>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Freestanding</w:t>
              <w:br/>
              <w:t>Financial</w:t>
              <w:br/>
              <w:t>Instruments</w:t>
              <w:br/>
              <w:t>Accompanying</w:t>
              <w:br/>
              <w:t>Warrants</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4,657,832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84" w:type="dxa"/>
        <w:jc w:val="left"/>
        <w:tblInd w:w="0" w:type="dxa"/>
        <w:tblLayout w:type="fixed"/>
        <w:tblCellMar>
          <w:top w:w="28" w:type="dxa"/>
          <w:left w:w="28" w:type="dxa"/>
          <w:bottom w:w="28" w:type="dxa"/>
          <w:right w:w="28" w:type="dxa"/>
        </w:tblCellMar>
      </w:tblPr>
      <w:tblGrid>
        <w:gridCol w:w="2641"/>
        <w:gridCol w:w="146"/>
        <w:gridCol w:w="241"/>
        <w:gridCol w:w="1065"/>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w:t>
              <w:br/>
              <w:t>Consideration</w:t>
              <w:br/>
              <w:t>in a Business</w:t>
              <w:br/>
              <w:t>Combination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2023</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2,456,199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2,331,641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transfers between levels at the end of each reporting period. There were no transfers between levels during the periods presented.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4. Accounts Receivable, Non-trade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non-trade consist of the following:</w:t>
      </w:r>
    </w:p>
    <w:p>
      <w:pPr>
        <w:pStyle w:val="TextBody"/>
        <w:bidi w:val="0"/>
        <w:jc w:val="both"/>
        <w:rPr/>
      </w:pPr>
      <w:r>
        <w:rPr/>
        <w:t> </w:t>
      </w:r>
    </w:p>
    <w:tbl>
      <w:tblPr>
        <w:tblW w:w="7207" w:type="dxa"/>
        <w:jc w:val="left"/>
        <w:tblInd w:w="0" w:type="dxa"/>
        <w:tblLayout w:type="fixed"/>
        <w:tblCellMar>
          <w:top w:w="28" w:type="dxa"/>
          <w:left w:w="28" w:type="dxa"/>
          <w:bottom w:w="28" w:type="dxa"/>
          <w:right w:w="28" w:type="dxa"/>
        </w:tblCellMar>
      </w:tblPr>
      <w:tblGrid>
        <w:gridCol w:w="4081"/>
        <w:gridCol w:w="146"/>
        <w:gridCol w:w="276"/>
        <w:gridCol w:w="1029"/>
        <w:gridCol w:w="146"/>
        <w:gridCol w:w="146"/>
        <w:gridCol w:w="211"/>
        <w:gridCol w:w="781"/>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incentives receivable</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96,154</w:t>
            </w:r>
          </w:p>
        </w:tc>
        <w:tc>
          <w:tcPr>
            <w:tcW w:w="39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GST receivables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30,444</w:t>
            </w:r>
          </w:p>
        </w:tc>
        <w:tc>
          <w:tcPr>
            <w:tcW w:w="39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accounts receivable, non-trade</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2021, the Company entered into a 5-year lease agreement (the “Greenhill Lease”) for its Australian facility located in Dulwich, South Australia. The initial term of the lease expires in May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Greenhill Lease requires monthly lease payments that are subject to annual increases of 3% throughout the lease term. The lease also includes two renewal options, at the election of the Company, to renew or extend the lease for additional terms of one year each. These optional periods have not been considered in the determination of the right-of-use assets or lease liabilities associated with these leases as the Company did not consider it reasonably certain it would exercise the options. Variable lease expense for the premises primarily consists of common area maintenance and other operating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recognition of the Greenhill Lease including the remaining lease payments through the end of the expected lease term: </w:t>
      </w:r>
    </w:p>
    <w:p>
      <w:pPr>
        <w:pStyle w:val="TextBody"/>
        <w:bidi w:val="0"/>
        <w:jc w:val="both"/>
        <w:rPr/>
      </w:pPr>
      <w:r>
        <w:rPr/>
        <w:t> </w:t>
      </w:r>
    </w:p>
    <w:tbl>
      <w:tblPr>
        <w:tblW w:w="5038" w:type="dxa"/>
        <w:jc w:val="left"/>
        <w:tblInd w:w="0" w:type="dxa"/>
        <w:tblLayout w:type="fixed"/>
        <w:tblCellMar>
          <w:top w:w="28" w:type="dxa"/>
          <w:left w:w="28" w:type="dxa"/>
          <w:bottom w:w="28" w:type="dxa"/>
          <w:right w:w="28" w:type="dxa"/>
        </w:tblCellMar>
      </w:tblPr>
      <w:tblGrid>
        <w:gridCol w:w="3196"/>
        <w:gridCol w:w="146"/>
        <w:gridCol w:w="261"/>
        <w:gridCol w:w="1044"/>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shd w:fill="FFFFFF" w:val="cle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145,186</w:t>
            </w:r>
          </w:p>
        </w:tc>
        <w:tc>
          <w:tcPr>
            <w:tcW w:w="3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Remaining lease payments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effect of discounting</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129,881</w:t>
            </w:r>
          </w:p>
        </w:tc>
        <w:tc>
          <w:tcPr>
            <w:tcW w:w="3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discount rate associated with the Company’s operating lease is 3.5% and the weighted average remaining lease term is approximately 1.8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condensed consolidated statements of operations and other comprehensive income (loss):</w:t>
      </w:r>
    </w:p>
    <w:p>
      <w:pPr>
        <w:pStyle w:val="TextBody"/>
        <w:bidi w:val="0"/>
        <w:jc w:val="both"/>
        <w:rPr/>
      </w:pPr>
      <w:r>
        <w:rPr/>
        <w:t> </w:t>
      </w:r>
    </w:p>
    <w:tbl>
      <w:tblPr>
        <w:tblW w:w="6006" w:type="dxa"/>
        <w:jc w:val="left"/>
        <w:tblInd w:w="0" w:type="dxa"/>
        <w:tblLayout w:type="fixed"/>
        <w:tblCellMar>
          <w:top w:w="28" w:type="dxa"/>
          <w:left w:w="28" w:type="dxa"/>
          <w:bottom w:w="28" w:type="dxa"/>
          <w:right w:w="28" w:type="dxa"/>
        </w:tblCellMar>
      </w:tblPr>
      <w:tblGrid>
        <w:gridCol w:w="2411"/>
        <w:gridCol w:w="146"/>
        <w:gridCol w:w="312"/>
        <w:gridCol w:w="1001"/>
        <w:gridCol w:w="216"/>
        <w:gridCol w:w="216"/>
        <w:gridCol w:w="312"/>
        <w:gridCol w:w="1001"/>
        <w:gridCol w:w="3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1313"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131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24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14,313</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4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30,434</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changes in the carrying value of goodwill for the three months ended September 30, 2024 and 2023:</w:t>
      </w:r>
    </w:p>
    <w:p>
      <w:pPr>
        <w:pStyle w:val="TextBody"/>
        <w:bidi w:val="0"/>
        <w:jc w:val="left"/>
        <w:rPr/>
      </w:pPr>
      <w:r>
        <w:rPr/>
        <w:t> </w:t>
      </w:r>
    </w:p>
    <w:tbl>
      <w:tblPr>
        <w:tblW w:w="5135" w:type="dxa"/>
        <w:jc w:val="left"/>
        <w:tblInd w:w="0" w:type="dxa"/>
        <w:tblLayout w:type="fixed"/>
        <w:tblCellMar>
          <w:top w:w="28" w:type="dxa"/>
          <w:left w:w="28" w:type="dxa"/>
          <w:bottom w:w="28" w:type="dxa"/>
          <w:right w:w="28" w:type="dxa"/>
        </w:tblCellMar>
      </w:tblPr>
      <w:tblGrid>
        <w:gridCol w:w="345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8,690,018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exchange differences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September 30, 2024</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8,903,988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135" w:type="dxa"/>
        <w:jc w:val="left"/>
        <w:tblInd w:w="0" w:type="dxa"/>
        <w:tblLayout w:type="fixed"/>
        <w:tblCellMar>
          <w:top w:w="28" w:type="dxa"/>
          <w:left w:w="28" w:type="dxa"/>
          <w:bottom w:w="28" w:type="dxa"/>
          <w:right w:w="28" w:type="dxa"/>
        </w:tblCellMar>
      </w:tblPr>
      <w:tblGrid>
        <w:gridCol w:w="345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8,694,186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exchange differences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September 30, 2023</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8,574,696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 There were no impairment indicators identified by the Company at September 30,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7. Intangible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acquired intellectual property relates to cancer stem cell technology, and is carried at its cost as at its date of acquisition, less accumulated amortization.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18" w:type="dxa"/>
        <w:jc w:val="left"/>
        <w:tblInd w:w="0" w:type="dxa"/>
        <w:tblLayout w:type="fixed"/>
        <w:tblCellMar>
          <w:top w:w="28" w:type="dxa"/>
          <w:left w:w="28" w:type="dxa"/>
          <w:bottom w:w="28" w:type="dxa"/>
          <w:right w:w="28" w:type="dxa"/>
        </w:tblCellMar>
      </w:tblPr>
      <w:tblGrid>
        <w:gridCol w:w="3361"/>
        <w:gridCol w:w="146"/>
        <w:gridCol w:w="277"/>
        <w:gridCol w:w="1223"/>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Cancer Stem</w:t>
              <w:br/>
              <w:t>Cell Technology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2024</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5,467,522</w:t>
            </w:r>
          </w:p>
        </w:tc>
        <w:tc>
          <w:tcPr>
            <w:tcW w:w="21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September 30, 2024</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5,301,839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June 30, 2023</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6,130,253</w:t>
            </w:r>
          </w:p>
        </w:tc>
        <w:tc>
          <w:tcPr>
            <w:tcW w:w="21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at September 30, 2023</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5,964,570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intellectual property with a finite life is recognized as an asset at cost and amortized on a straight line basis over its estimated useful life of 20 years. There is currently no internally generated intellectual property that has been capitalized.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p>
      <w:pPr>
        <w:pStyle w:val="TextBody"/>
        <w:bidi w:val="0"/>
        <w:jc w:val="left"/>
        <w:rPr/>
      </w:pPr>
      <w:r>
        <w:rPr/>
        <w:t> </w:t>
      </w:r>
    </w:p>
    <w:tbl>
      <w:tblPr>
        <w:tblW w:w="7737" w:type="dxa"/>
        <w:jc w:val="left"/>
        <w:tblInd w:w="0" w:type="dxa"/>
        <w:tblLayout w:type="fixed"/>
        <w:tblCellMar>
          <w:top w:w="28" w:type="dxa"/>
          <w:left w:w="28" w:type="dxa"/>
          <w:bottom w:w="28" w:type="dxa"/>
          <w:right w:w="28" w:type="dxa"/>
        </w:tblCellMar>
      </w:tblPr>
      <w:tblGrid>
        <w:gridCol w:w="4461"/>
        <w:gridCol w:w="146"/>
        <w:gridCol w:w="241"/>
        <w:gridCol w:w="1064"/>
        <w:gridCol w:w="146"/>
        <w:gridCol w:w="146"/>
        <w:gridCol w:w="211"/>
        <w:gridCol w:w="93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shd w:fill="FFFFFF" w:val="clear"/>
            <w:vAlign w:val="center"/>
          </w:tcPr>
          <w:p>
            <w:pPr>
              <w:pStyle w:val="TableContents"/>
              <w:bidi w:val="0"/>
              <w:spacing w:before="0" w:after="283"/>
              <w:jc w:val="center"/>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benefits</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648,858</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311,172</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297,780</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134,910</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EDA Loan</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Share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Equity awards for executives and employees have been and are provided by a combination of equity plans that may include the: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Employee Share Plan (the “A$1,000</w:t>
      </w:r>
      <w:r>
        <w:rPr>
          <w:color w:val="000000"/>
        </w:rPr>
        <w:t xml:space="preserve"> </w:t>
      </w:r>
      <w:r>
        <w:rPr>
          <w:rFonts w:ascii="Times New Roman" w:hAnsi="Times New Roman"/>
          <w:color w:val="000000"/>
          <w:sz w:val="20"/>
        </w:rPr>
        <w:t>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Share Option Plan (“ESOP”);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Equity Plan (“EEP”).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Participation in these plans is at our board of directors’ discretion and no individual has an ongoing contractual right to participate in a plan or to receive any guaranteed benefits. For key appointments, an initial allocation of equity may be offered as a component of their initial employment agreement. The structure of equity awards is under the active review of the Nomination and Remuneration Committee to ensure it meets good corporate practice for a company of our size, nature and company lifecycle.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describes the material terms of each of the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Share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objective of the A$1,000 Plan is to assist Management in the attraction and retention of employees, and to provide encouragement to become shareholders. An annual allocation of up to A$1,000 of shares may be granted and taxed on a concessional basis. No shares were issued to employees under the A$1,000 Plan during the three months ended September 30 2024 and 2023,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Bionomics Employee Equity Plan and Bionomics Employee Share Option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EEP replaced the ESOP at the Annual General Meeting held December 2,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EEP was last amended on October 31, 2021 to provide the Company with increased flexibility to settle EEP awards offered or granted to non-Australian employees and directors by enabling it to offer and grant EEP awards that may be settled in American Depository Shares (“ADS”) (at a number of ADS’ that represents the appropriate number of Ordinary Shares offered or granted under the award). In addition, the amendment permits the Company to (i) determine any monetary amounts and accept payments related to the EEP or awards issued thereunder in United States dollars (or any other currency the Board deems acceptable), (ii) impose terms and conditions on the EEP or awards issued thereunder to comply with the securities and tax laws of the United States (or any other jurisdiction the Board deems appropriate), and (iii) take any other steps the Board deems necessary or desirable to settle EEP awards in ADSs.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benefits have been provided to employees via the Employee Equity Plan, with the exception of share options issued to the Executive Chairman and the Chief Executive Officer which were each approved by shareholders at the General Meeting held in February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Staff eligible to participate in the plan are those who have been a full-time or part-time employee of the Company for a period of not less than six months or are members of the Board of Directors. Options are granted under the plan for no consideration and vest equally over five years, or when vesting conditions are achieved, unless they are bonus options which vest immediately. The amounts disclosed as remuneration relating to options are the assessed fair values at grant date of those options allocated equally over the period from grant date to vesting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employee and non-employee share option activity for the three months ended September 30, 2024:</w:t>
      </w:r>
    </w:p>
    <w:p>
      <w:pPr>
        <w:pStyle w:val="TextBody"/>
        <w:bidi w:val="0"/>
        <w:jc w:val="left"/>
        <w:rPr/>
      </w:pPr>
      <w:r>
        <w:rPr/>
        <w:t> </w:t>
      </w:r>
    </w:p>
    <w:tbl>
      <w:tblPr>
        <w:tblW w:w="10093" w:type="dxa"/>
        <w:jc w:val="left"/>
        <w:tblInd w:w="0" w:type="dxa"/>
        <w:tblLayout w:type="fixed"/>
        <w:tblCellMar>
          <w:top w:w="28" w:type="dxa"/>
          <w:left w:w="28" w:type="dxa"/>
          <w:bottom w:w="28" w:type="dxa"/>
          <w:right w:w="28" w:type="dxa"/>
        </w:tblCellMar>
      </w:tblPr>
      <w:tblGrid>
        <w:gridCol w:w="3931"/>
        <w:gridCol w:w="146"/>
        <w:gridCol w:w="146"/>
        <w:gridCol w:w="1141"/>
        <w:gridCol w:w="166"/>
        <w:gridCol w:w="146"/>
        <w:gridCol w:w="336"/>
        <w:gridCol w:w="1089"/>
        <w:gridCol w:w="146"/>
        <w:gridCol w:w="146"/>
        <w:gridCol w:w="268"/>
        <w:gridCol w:w="858"/>
        <w:gridCol w:w="146"/>
        <w:gridCol w:w="146"/>
        <w:gridCol w:w="463"/>
        <w:gridCol w:w="528"/>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110,449,330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3"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9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Lapsed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97,434,330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3"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exercisable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79,909,138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3"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2024, there was less than $0.1 million of unrecognized compensation cost related to unvested employee share option awards outstanding, which is expected to be recognized as expense over a weighted average period of 1.2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the fair value of the share-based awards, the Company uses the Black-Scholes option-pricing model and assumptions discussed below. Each of these inputs is subjective and generally requires significant judgment to determine.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and 2023, the Company recognized total share-based compensation expense of less than $0.1 million and $0.1 million, respectively, substantially all of which was recorded as general and administrative expense in each period. There were no equity awards issued during the three months ended September 30, 2024 or 2023, respectively.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10.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warrant activity for the three months ended September 30, 2024:</w:t>
      </w:r>
    </w:p>
    <w:p>
      <w:pPr>
        <w:pStyle w:val="TextBody"/>
        <w:bidi w:val="0"/>
        <w:jc w:val="both"/>
        <w:rPr/>
      </w:pPr>
      <w:r>
        <w:rPr/>
        <w:t> </w:t>
      </w:r>
    </w:p>
    <w:tbl>
      <w:tblPr>
        <w:tblW w:w="5647" w:type="dxa"/>
        <w:jc w:val="left"/>
        <w:tblInd w:w="0" w:type="dxa"/>
        <w:tblLayout w:type="fixed"/>
        <w:tblCellMar>
          <w:top w:w="28" w:type="dxa"/>
          <w:left w:w="28" w:type="dxa"/>
          <w:bottom w:w="28" w:type="dxa"/>
          <w:right w:w="28" w:type="dxa"/>
        </w:tblCellMar>
      </w:tblPr>
      <w:tblGrid>
        <w:gridCol w:w="2641"/>
        <w:gridCol w:w="146"/>
        <w:gridCol w:w="146"/>
        <w:gridCol w:w="1036"/>
        <w:gridCol w:w="166"/>
        <w:gridCol w:w="146"/>
        <w:gridCol w:w="303"/>
        <w:gridCol w:w="672"/>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of</w:t>
              <w:br/>
              <w:t>ADS</w:t>
              <w:br/>
              <w:t xml:space="preserve">Warrants </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USD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14,859,572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Each ADS warrant converts into ordinary shares at a conversion ratio of 1:180.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classification, expiration date, and exercise price of individual warrants at September 30, 2024 are as follows:</w:t>
      </w:r>
    </w:p>
    <w:p>
      <w:pPr>
        <w:pStyle w:val="TextBody"/>
        <w:bidi w:val="0"/>
        <w:jc w:val="left"/>
        <w:rPr/>
      </w:pPr>
      <w:r>
        <w:rPr/>
        <w:t> </w:t>
      </w:r>
    </w:p>
    <w:tbl>
      <w:tblPr>
        <w:tblW w:w="9096" w:type="dxa"/>
        <w:jc w:val="left"/>
        <w:tblInd w:w="0" w:type="dxa"/>
        <w:tblLayout w:type="fixed"/>
        <w:tblCellMar>
          <w:top w:w="28" w:type="dxa"/>
          <w:left w:w="28" w:type="dxa"/>
          <w:bottom w:w="28" w:type="dxa"/>
          <w:right w:w="28" w:type="dxa"/>
        </w:tblCellMar>
      </w:tblPr>
      <w:tblGrid>
        <w:gridCol w:w="2926"/>
        <w:gridCol w:w="146"/>
        <w:gridCol w:w="146"/>
        <w:gridCol w:w="1036"/>
        <w:gridCol w:w="146"/>
        <w:gridCol w:w="146"/>
        <w:gridCol w:w="317"/>
        <w:gridCol w:w="1018"/>
        <w:gridCol w:w="146"/>
        <w:gridCol w:w="146"/>
        <w:gridCol w:w="1471"/>
        <w:gridCol w:w="146"/>
        <w:gridCol w:w="130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ADS</w:t>
              <w:br/>
              <w:t>Warrants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Classification</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pre-funded ADS warrants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expiry</w:t>
            </w:r>
          </w:p>
        </w:tc>
        <w:tc>
          <w:tcPr>
            <w:tcW w:w="146" w:type="dxa"/>
            <w:tcBorders/>
            <w:shd w:fill="CFF0FC" w:val="clear"/>
            <w:vAlign w:val="center"/>
          </w:tcPr>
          <w:p>
            <w:pPr>
              <w:pStyle w:val="TableContents"/>
              <w:bidi w:val="0"/>
              <w:spacing w:before="0" w:after="283"/>
              <w:jc w:val="center"/>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accompanying ADS warrants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2029</w:t>
            </w:r>
          </w:p>
        </w:tc>
        <w:tc>
          <w:tcPr>
            <w:tcW w:w="146" w:type="dxa"/>
            <w:tcBorders/>
            <w:shd w:fill="FFFFFF" w:val="clear"/>
            <w:vAlign w:val="center"/>
          </w:tcPr>
          <w:p>
            <w:pPr>
              <w:pStyle w:val="TableContents"/>
              <w:bidi w:val="0"/>
              <w:spacing w:before="0" w:after="283"/>
              <w:jc w:val="center"/>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Liability</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14,859,572 ADS warrants were vested and exercisable at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ADS warrants have no expiry associated with them. The weighted average remaining contractual life of the accompanying ADS warrants outstanding at September 30, 2024 is 4.68 years.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11. Ordinary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ending September 30, 2023, the Company issued 2,100,866 ADS', representing 378,155,880 ordinary shares, for gross proceeds of $6,7 million net of issuance costs of $0.5 million. 1,508,727 of the ADS's were issued subject to a subscription agreement which settled on October 3, 2023 when the Company received the remaining $5.6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interim financial reporting, the Company estimates its annual effective tax rate ("ETR") based on the projected income for its entire fiscal year and records a provision or benefit for income taxes quarterly, based on the estimated annual effective income tax rate. Our ETR from continuing operations was 14.1% for the three months ended September 30, 2024 and 0.6% for the three months ended September 30, 2023. The Company recognized a tax benefit of $132,187 for the period ending September 30, 2024 and a tax benefit of $34,793 for the period ending September 30, 2023.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13.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potential ordinary shares are anti-dilutive and are therefore excluded from the weighted average number of ordinary shares for the purposes of diluted loss per share.</w:t>
      </w:r>
    </w:p>
    <w:p>
      <w:pPr>
        <w:pStyle w:val="TextBody"/>
        <w:bidi w:val="0"/>
        <w:jc w:val="both"/>
        <w:rPr/>
      </w:pPr>
      <w:r>
        <w:rPr/>
        <w:t> </w:t>
      </w:r>
    </w:p>
    <w:tbl>
      <w:tblPr>
        <w:tblW w:w="6144" w:type="dxa"/>
        <w:jc w:val="left"/>
        <w:tblInd w:w="0" w:type="dxa"/>
        <w:tblLayout w:type="fixed"/>
        <w:tblCellMar>
          <w:top w:w="28" w:type="dxa"/>
          <w:left w:w="28" w:type="dxa"/>
          <w:bottom w:w="28" w:type="dxa"/>
          <w:right w:w="28" w:type="dxa"/>
        </w:tblCellMar>
      </w:tblPr>
      <w:tblGrid>
        <w:gridCol w:w="3046"/>
        <w:gridCol w:w="146"/>
        <w:gridCol w:w="146"/>
        <w:gridCol w:w="1036"/>
        <w:gridCol w:w="146"/>
        <w:gridCol w:w="146"/>
        <w:gridCol w:w="146"/>
        <w:gridCol w:w="114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97,434,330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117,196,315</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14,859,572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14. Related Party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Danforth Advisors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WG Partners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an engagement letter with WG Partners LLP to provide financial advisory services to Bionomics. David Wilson, a director of Bionomics, is the Chairman and Chief Executive Officer of WG Partners. Under the agreement, Bionomics must pay to WG Partners a monthly fee of $15,000 and commission of up to 5% of any fundraising proceeds attributable to this relationship. The agreement will continue until such time as a party gives 30 days prior written notice of termination to the other party. During the three-month period ended September 30, 2024, Bionomics paid WG Partners $59,841 for its services under terms and conditions that are on an arms-length basis.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15.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changes in the projected inputs associated with the timing and quantum of expected cash outflows, which are in USD dollars, the liability increased by approximately $0.1 million during the three months ended September 30, 2024. Inputs used are based on the anticipated amounts and timing of potential milestone and royalty payments from licensing agreement with Carina Biotech Pty Ltd (“Carina”).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guidance in ASC 805, </w:t>
      </w:r>
      <w:r>
        <w:rPr>
          <w:rFonts w:ascii="Times New Roman" w:hAnsi="Times New Roman"/>
          <w:i/>
          <w:color w:val="000000"/>
          <w:sz w:val="20"/>
        </w:rPr>
        <w:t>Business Combinations</w:t>
      </w:r>
      <w:r>
        <w:rPr>
          <w:rFonts w:ascii="Times New Roman" w:hAnsi="Times New Roman"/>
          <w:color w:val="000000"/>
          <w:sz w:val="20"/>
        </w:rPr>
        <w:t>, requires an acquirer to recognize contingent consideration obligations as of the acquisition date at fair value as part of the consideration transferred in exchange for the acquired business. Subsequent changes in the fair value are recognized in the Condensed Consolidated Statement of Operations and Comprehensive Loss (see Note 3).</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Note 16. Commitments and Contingencies</w:t>
      </w:r>
    </w:p>
    <w:p>
      <w:pPr>
        <w:pStyle w:val="TextBody"/>
        <w:bidi w:val="0"/>
        <w:spacing w:before="120" w:after="283"/>
        <w:jc w:val="left"/>
        <w:rPr>
          <w:rFonts w:ascii="Times New Roman" w:hAnsi="Times New Roman"/>
          <w:sz w:val="20"/>
        </w:rPr>
      </w:pPr>
      <w:r>
        <w:rPr>
          <w:rFonts w:ascii="Times New Roman" w:hAnsi="Times New Roman"/>
          <w:i/>
          <w:color w:val="000000"/>
          <w:sz w:val="20"/>
        </w:rPr>
        <w:t>Ironwood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Ironwood is to pay Ironwood low to mid-single digit royalties on the net sales of BNC210, if commercialized. It is not practicable to estimate the future payments of any such royalties that may arise due to the stage of development of BNC210.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Severance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contingent liability in relation to the employment agreement with Dr. Spyros Papapetropoulos for severance pay of $787,500.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Depositary Agreement with Citibank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Company planning to affect a redomiciliation by a scheme of arrangement under Part 5.1 of the Australian Corporations Act which would change the jurisdiction of the holding company of the Bionomics Group from Australia to the United States, we will terminate the ADR Depositary Agreement with Citibank. We may be required to pay significant additional fees for the withdrawal or termination of this program and are not able to estimate what those fees will be.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17.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subsequent events through November 14, 2024 and has concluded that no events or transactions have occurred that require disclosure in the accompanying consolidated financial statements, except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24, 2024, in connection with the Company’s June 4, 2024 private placement offering of ADS’, pre-funded warrants and an accompanying warrants (the “June 2024 Offering”), Armistice Capital LLC (the investor, “Armistice”) provided a notice to the Company in connection with its exercise of its pre-funded warrants to purchase 1,450,000 ADSs (represented by 261,000,000 Ordinary Shares underlying the pre-funded warrants). Following this exercise, there remained 757,000 exercisable pre-funded ADS warrants. The underlying pre-funded ADS warrants were previously registered for resale on Form F-1 with the SEC. On October 25, 2024. Armistice provided notice to the Company in connection with its exercise of its pre-funded warrants to purchase 757,000 ADSs (represented by 136,260,000 Ordinary Shares underlying the warrant). Following this exercise, there remains no exercisable pre-funded ADS warrants related to the Offering. The underlying pre-funded ADS warrants were previously registered for resale on Form F-1 with the SEC. The Company plans to file a resale registration statement on Form S-3 for purposes of covering the resale, if any, of the cash exercise warrants issued in the private placement. No cash warrants have been exercised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October 2024, Carina Biotech (“Carina”) made a milestone payment to the Company in the gross amount of A$1,000,000 under the terms of the November 2020 agreement we had entered into with them whereby we had exclusively licensed BNC101 to Carina for the development of CAR-T therapeutics, in return for milestones and royalties or a percentage of the out-licensed revenues. As a result of the acquisition of Eclipse Therapeutic, Inc (“Eclipse”) during the year ended June 30, 2013, the Company is obligated to remit to Eclipse 20% of the proceeds received from Carina, or A$200,000, in compliance with the merger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other matters or circumstances that have arisen since the end of the financial year which significantly affect or may significantly affect the results of the operations of the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1" w:name="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Annual Report on Form 10-K for the year ended June 30, 2024 ("Form 10-K") and in this report, as well as disclosures in this report and our other reports filed with the Securities and Exchange Commission ("SEC"),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Bionomics’ pipeline also includes preclinical assets that target Kv3.1/3.2 and Nav1.7/1.8 ion channels being developed for CNS conditions of high unmet need.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advancing our lead product candidate, BNC210, an oral, proprietary, selective NAM of the α7 receptor, for the chronic treatment of Post-Traumatic Stress Disorder (“PTSD”) and the acute treatment of Social Anxiety Disorder (“SAD”). There remains a significant unmet medical need for the over 27 million patients in the United States alone suffering from SAD and PTSD.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1996, completed our initial public offering and listing of ordinary shares on the ASX in 1999 and completed our initial public offering and listing of our ADSs on the Nasdaq Global Market in 2021. On July 25, 2023, we requested to be delisted from the official list of the ASX, which became effective August 28, 2023 and, as a result, our ordinary shares are no longer quoted or traded on the ASX.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sufficient to achieve profitability will depend heavily on the successful development and eventual commercialization of one or more of our product candidates. As of September 30, 2024, our operations have been financed primarily by aggregate net proceeds of $191.5 million from the sale and issuances of our equity, $13.5 million in the form of an upfront payment, research funding and a milestone payment from the 2014 MSD License Agreement, and $66.8 million from Australian research and development credits and government grants and assistance.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had significant operating losses. Our net loss after tax was $0.8 million and $5.5 million for the three months ended September 30, 2024 and 2023, respectively. As of September 30, 2024, we had an accumulated deficit of $178.8 million and cash and cash equivalents of $8.1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trade and other payables. We expect to continue to incur net losses for the foreseeable future, and we expect our research and development expenses, and our administrative and other expenses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U.S. public company, hiring U.S. personnel and establishing a U.S. infrastructure. In addition, if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 on other research and development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205-40, </w:t>
      </w:r>
      <w:r>
        <w:rPr>
          <w:rFonts w:ascii="Times New Roman" w:hAnsi="Times New Roman"/>
          <w:i/>
          <w:color w:val="000000"/>
          <w:sz w:val="20"/>
        </w:rPr>
        <w:t>Going Concern</w:t>
      </w:r>
      <w:r>
        <w:rPr>
          <w:rFonts w:ascii="Times New Roman" w:hAnsi="Times New Roman"/>
          <w:color w:val="000000"/>
          <w:sz w:val="20"/>
        </w:rPr>
        <w:t xml:space="preserve">, the Company has evaluated whether there are conditions and events, considered in the aggregate, that raise substantial doubt about the Company’s ability to continue as a going concern within one year after the date the financial statements included in this Quarterly Report on Form 10-Q are issued. The Company incurred net losses of $0.8 million and $5.5 million for the three months ended September 30, 2024 and 2023, respectively. The Company also used $4.4 million of cash for operating activities during each of the three months ended September 30,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the Company’s current operating plans, the Company believes that its existing cash and cash equivalents, combined with its existing ATM facility, will be sufficient to continue funding its development activities into late in the first quarter of fiscal year 2026, which is less than twelve months from the date these condensed consolidated financial statements are issued.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2024, Bionomics Limited, an Australian corporation (“Bionomics”), and Neuphoria Therapeutics Inc., a Delaware corporation (“Neuphoria”), entered into a Scheme Implementation Agreement to re-domicile from Australia to the U.S. state of Delaware pursuant to a Scheme of Arrangement under Australian law. Upon completion of the Scheme of Arrangement, Bionomics would become a wholly-owned subsidiary of Neuphoria.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Scheme of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ordinary shares in Bionomics will receive one share of common stock in Neuphoria for every 2,160 ordinary shares of Bionomics held as of record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American Depositary Shares (“ADSs”) of Bionomics will receive one share of common stock in Neuphoria for every 12 ADSs held in Bionomics as of the record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the Scheme of Arrangement is subject to customary conditions, including the approval of Bionomics shareholders and an Australian court as well as other regulatory approvals. Details of the terms and conditions are set out in the Scheme Implementation Agreement, which is indexed as Exhibit 2.1 to this Quarterly Report.</w:t>
      </w:r>
    </w:p>
    <w:p>
      <w:pPr>
        <w:pStyle w:val="TextBody"/>
        <w:bidi w:val="0"/>
        <w:spacing w:before="120" w:after="283"/>
        <w:jc w:val="left"/>
        <w:rPr>
          <w:rFonts w:ascii="Times New Roman" w:hAnsi="Times New Roman"/>
          <w:sz w:val="20"/>
        </w:rPr>
      </w:pPr>
      <w:r>
        <w:rPr>
          <w:rFonts w:ascii="Times New Roman" w:hAnsi="Times New Roman"/>
          <w:b/>
          <w:color w:val="000000"/>
          <w:sz w:val="20"/>
        </w:rPr>
        <w:t>Licenses and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2014, we entered the 2014 MSD License Agreement to develop compounds targeting cognitive dysfunction associated with Alzheimer’s disease and other central nervous system conditions. Pursuant to the 2014 MSD License Agreement, we received upfront payments totaling A$20 million, and another A$10 million in February 2017 when the first compound from the collaboration entered Phase 1 clinical trials and we are eligible to receive up to an additional A$465 million in milestone payments for achievement of certain development and commercial milestones. Further, MSD is obligated to pay us tiered royalties in the mid-single digit to low sub-teen double digit percentage range on net sales of the licensed products, subject to reduction upon certain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2020, we entered into an IP license agreement (the “Carina Biotech License”) with Carina Biotech ("Carina").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On October 30, 2024, Carina made a milestone payment to the Company in the gross amount of A$1,000,000.</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Operating Results from Continuing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since inception have consisted primarily of research and development expenses, general and administrative expenses, and other costs.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represent costs incurred to conduct discovery and development of our proprietary drug candidates and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 costs, which include salaries, benefits and share-based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outside consultants and advisors, including their fees and related travel expenses;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our direct research and development expenses in the three months ended September 30, 2024 and 2023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planned Phase 3 clinical trials in SAD and PTSD;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of clinical trials for BNC210 and our other current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from our clinical programs that support an acceptable risk-benefit profile of our product candidates in the intended patient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regulatory authorities in Europe, or other regulatory agencies, of the IND applications, clinical trial applications and/or other regulatory filings for BNC210, our other current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and maintenance of a workforce of experienced scientists and others to continue to develop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application for and 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obtainment and maintenance of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arrangements with third-party manufacturers for, or establishment of,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sales, marketing and distribution capabilities and successful launch of commercial sales of our products,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obtainment and maintenance of coverage, adequate pricing and adequate reimbursement from third-party payors, including government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obtainment, maintenance, enforcement, defense and protection of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avoidance of infringement, misappropriation or other violations with respect to others’ intellectual property or proprietary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profile of our products following receipt of any marketing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We expect our research and development expenses to increase substantially for the foreseeable future as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Administration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administration expenses to increase over the next several years to support expanded research and development activities and operating as a U.S. public company, including costs of additional personnel, increased costs related to additional investor relations activities, director and officer insurance premiums, and increased fees to outside consultants, lawyers, and accountants.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administration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which include salaries, benefits and share-based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outside consultants and advisors,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and maintenance of patents and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relating to audit, tax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including facilities costs, legal fees and insurance.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consists of net interest income, foreign currency gains and losses, fair value adjustments, and other gains and losses.</w:t>
      </w:r>
    </w:p>
    <w:p>
      <w:pPr>
        <w:pStyle w:val="TextBody"/>
        <w:bidi w:val="0"/>
        <w:spacing w:before="120" w:after="283"/>
        <w:jc w:val="left"/>
        <w:rPr>
          <w:rFonts w:ascii="Times New Roman" w:hAnsi="Times New Roman"/>
          <w:sz w:val="20"/>
        </w:rPr>
      </w:pPr>
      <w:r>
        <w:rPr>
          <w:rFonts w:ascii="Times New Roman" w:hAnsi="Times New Roman"/>
          <w:i/>
          <w:color w:val="000000"/>
          <w:sz w:val="20"/>
        </w:rPr>
        <w:t>Foreign Currency Exchange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results are reported in U.S. dollars. A substantial portion of our operating expenses and other income are denominated in the Australian dollar. During the three months ended September 30, 2024 and 2023,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three months ended September 30, 2024, and 2023, respectively. See “Quantitative and Qualitative Disclosures about Market Risk” for more 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September 30, 2024 and 2023</w:t>
      </w:r>
      <w:r>
        <w:rPr>
          <w:rFonts w:ascii="Times New Roman" w:hAnsi="Times New Roman"/>
          <w:color w:val="000000"/>
          <w:sz w:val="20"/>
        </w:rPr>
        <w:t xml:space="preserve"> </w:t>
      </w:r>
    </w:p>
    <w:p>
      <w:pPr>
        <w:pStyle w:val="TextBody"/>
        <w:bidi w:val="0"/>
        <w:jc w:val="left"/>
        <w:rPr/>
      </w:pPr>
      <w:r>
        <w:rPr/>
        <w:t> </w:t>
      </w:r>
    </w:p>
    <w:tbl>
      <w:tblPr>
        <w:tblW w:w="8827" w:type="dxa"/>
        <w:jc w:val="left"/>
        <w:tblInd w:w="0" w:type="dxa"/>
        <w:tblLayout w:type="fixed"/>
        <w:tblCellMar>
          <w:top w:w="28" w:type="dxa"/>
          <w:left w:w="28" w:type="dxa"/>
          <w:bottom w:w="28" w:type="dxa"/>
          <w:right w:w="28" w:type="dxa"/>
        </w:tblCellMar>
      </w:tblPr>
      <w:tblGrid>
        <w:gridCol w:w="2311"/>
        <w:gridCol w:w="146"/>
        <w:gridCol w:w="280"/>
        <w:gridCol w:w="1319"/>
        <w:gridCol w:w="221"/>
        <w:gridCol w:w="194"/>
        <w:gridCol w:w="280"/>
        <w:gridCol w:w="1319"/>
        <w:gridCol w:w="166"/>
        <w:gridCol w:w="146"/>
        <w:gridCol w:w="211"/>
        <w:gridCol w:w="991"/>
        <w:gridCol w:w="166"/>
        <w:gridCol w:w="146"/>
        <w:gridCol w:w="93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(1,900,903</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(3,088,229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(1,187,326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(38.4)%</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(1,666,824</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(2,379,378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(29.9)%</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2,630,753</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6,717.6%</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(936,974</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in the three months ended September 30, 2024 and 2023 were principally focused on the advancement of BNC210. The decrease in the three months ended September 30, 2024 of approximately $1.2 million, as compared to the three months ended September 30, 2023, was primarily due to decreased expenditures associated with the PTSD ATTUNE clinical trial, which started during July 2021, the SAD PREVAIL clinical trial, which started during February 2022, and work in relation to preparation for an End-of-Phase 2 meeting with the FDA to discuss our Phase 3 clinical program in SAD.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September 30, 2024, approximately 67% of the total research and development expenses related to the advancement of our BNC210-based programs. Of the total BNC210-based program spend during the three months ended September 30, 2024, approximately 18% was attributable to PSTD ATTUNE and 49%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$0.7 million decrease in general and administrative expenses during the three months ended September 30, 2024, as compared to the same period ended in 2023 was due to decreases in headcount-related costs of $0.1 million resulting from normal turnover in personnel, decreased insurance expense in the current year of $0.2 million, and decreased administrative costs associated with our delisting from the ASX of $0.4 million during the three months ended September 30, 2023.</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increase in other income of $2.7 million for three months ended September 30, 2024, as compared to the same period ending in 2023, was primarily due to the fair value adjustment associated with our accompanying warrant liability of $2.9 million, partially offset by a decrease in interest income of approximately $0.1 million combined with losses on foreign currency transactions of approximately $0.3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during the three months ended September 30, 2024, nor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and negative cash flows from operations since our inception, and we anticipate that we will incur net losses for the next several years. As of September 30, 2024, we had cash and cash equivalents of $8.1 million and an accumulated deficit of $178.8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for each of the periods presented:</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September 30, 2024 and 2023</w:t>
      </w:r>
      <w:r>
        <w:rPr>
          <w:rFonts w:ascii="Times New Roman" w:hAnsi="Times New Roman"/>
          <w:color w:val="000000"/>
          <w:sz w:val="20"/>
        </w:rPr>
        <w:t xml:space="preserve"> </w:t>
      </w:r>
    </w:p>
    <w:p>
      <w:pPr>
        <w:pStyle w:val="TextBody"/>
        <w:bidi w:val="0"/>
        <w:jc w:val="left"/>
        <w:rPr/>
      </w:pPr>
      <w:r>
        <w:rPr/>
        <w:t> </w:t>
      </w:r>
    </w:p>
    <w:tbl>
      <w:tblPr>
        <w:tblW w:w="9761" w:type="dxa"/>
        <w:jc w:val="left"/>
        <w:tblInd w:w="0" w:type="dxa"/>
        <w:tblLayout w:type="fixed"/>
        <w:tblCellMar>
          <w:top w:w="28" w:type="dxa"/>
          <w:left w:w="28" w:type="dxa"/>
          <w:bottom w:w="28" w:type="dxa"/>
          <w:right w:w="28" w:type="dxa"/>
        </w:tblCellMar>
      </w:tblPr>
      <w:tblGrid>
        <w:gridCol w:w="5711"/>
        <w:gridCol w:w="146"/>
        <w:gridCol w:w="280"/>
        <w:gridCol w:w="1319"/>
        <w:gridCol w:w="221"/>
        <w:gridCol w:w="194"/>
        <w:gridCol w:w="280"/>
        <w:gridCol w:w="1319"/>
        <w:gridCol w:w="291"/>
      </w:tblGrid>
      <w:tr>
        <w:trPr/>
        <w:tc>
          <w:tcPr>
            <w:tcW w:w="5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7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Three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(4,433,063</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(4,429,800</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(227,338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(4,660,401</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(3,817,262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cash used in operating activities for each of the three months ended September 30, 2024 and 2023 was approximately $4.4 million. The $4.6 million decrease in net loss combined with the $0.2 million effect of the remeasurement of intercompany accounts during the three months ended September 30, 2024, as compared to the same period ended September 30, 2023, was offset by a $0.1 million decrease in share based compensation combined with the realization of a $2.9 million change in the fair value of the accompanying warrants and a $1.7 million increase in cash used for working capital.</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transactions categorized as investing activities during either of the three months ended September 30, 2024 or 2023.</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in the three months ended September 30, 2024 represent trailing equity issue costs associated with our June 2024 offering of ADS shares, pre-funded ADS warrants, partially offset by the exercise of pre-funded ADS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 in the three months ended September 30, 2023 represent the issuance of ADS shares, net of a stock subscription receivable of $5.6 million and issue costs of $0.5 million. Cash proceeds of $5.6 million were received on October 3, 2023 in full satisfaction of the stock subscription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announced the establishment of an “at-the-market” program (the “ATM Program”) with Cantor Fitzgerald &amp; Co. (“Cantor”) as sales agent. Under the ATM Program, the Company may offer and sell up to $11.5 million of ordinary shares in the form of ADSs, with each ADS representing 180 fully paid ordinary shares, through Cantor. Sales of ADSs under the ATM Program may be made from time to time, with the timing and amount of any sales to be determined by Bionomics based on a variety of factors. Bionomics may determine to sell some, all, or none of the ADSs under the ATM Program and may terminate the ATM Program at its discretion. Bionomics, through Cantor, may sell ADSs by any lawful method deemed to be an “at-the-market offering”. Sales made through the ATM Program may be made at market prices prevailing at the time of a sale or at prices related to prevailing market prices. As a result, actual sales prices may vary. We currently intend to use the net proceeds from the ATM, together with its existing cash and cash equivalents, to fund our pipeline development, to maintain working capital, and for general corporate purposes. We have not issued any ADSs under the ATM program during the three months ended September 30, 2024.</w:t>
      </w:r>
    </w:p>
    <w:p>
      <w:pPr>
        <w:pStyle w:val="TextBody"/>
        <w:bidi w:val="0"/>
        <w:spacing w:before="120" w:after="283"/>
        <w:jc w:val="left"/>
        <w:rPr>
          <w:rFonts w:ascii="Times New Roman" w:hAnsi="Times New Roman"/>
          <w:sz w:val="20"/>
        </w:rPr>
      </w:pPr>
      <w:r>
        <w:rPr>
          <w:rFonts w:ascii="Times New Roman" w:hAnsi="Times New Roman"/>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candidates we may develop may never achieve commercialization and we anticipate that we will continue to incur losses for the foreseeable future. We expect that our research and development expenses and our general and administrative expenses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 we believe that our existing cash and cash equivalents, combined with our existing ATM facility, will be sufficient to continue funding our development activities through late in the first quarter of 2026. We have based this estimate on assumptions that may prove to be wrong, and we could exhaust our available capital resources sooner than we expect.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shareholders,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were unable to obtain additional financing to fund our operations through successful development and commercialization of all our potential product candidates, we may be required to reduce the scope of, delay, or terminate some or all of our planned development and commercialization activities, which could harm our business. For more information as to the risks associated with our future funding requirements, see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long-term debt or capital lease obligations. We have a long-term operating lease obligation for our Australian office space and a non-current warrant liability which commits us to issuing shares to accompanying warrant holders upon the exercise of their ADS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2" w:name="item3_quantitative_and_qualitative"/>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pStyle w:val="TextBody"/>
        <w:bidi w:val="0"/>
        <w:spacing w:before="120" w:after="283"/>
        <w:jc w:val="left"/>
        <w:rPr>
          <w:rFonts w:ascii="Times New Roman" w:hAnsi="Times New Roman"/>
          <w:b/>
          <w:color w:val="000000"/>
          <w:sz w:val="20"/>
        </w:rPr>
      </w:pPr>
      <w:bookmarkStart w:id="13" w:name="item4_controls_and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our Disclosure Committee and management, including our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Chief Executive Officer and our Principal Financial and Accounting Officer), as of the end of the period covered by this report, our Chief Executive Officer and our Principal Financial and Accounting Officer have concluded that our disclosure controls and procedures were effective at the reasonable assurance level.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(as defined in Rules 13a-15(f) and 15d-15(f) of the Exchange Act) during the three months ended September 30, 2024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5" w:name="item_1"/>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6" w:name="item_1a"/>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substantial risks and uncertainties. Investing in our securities involves a high degree of risk. You should carefully consider the risk factors in Part I, Item 1A of our Annual Report on Form 10-K for the year ended June 30, 2024, filed with the SEC on September 30, 2024, together with the information contained elsewhere in this report, including Part I, Item 1 “Financial Statements” and Part I, Item 2. “Management’s Discussion and Analysis of Financial Condition and Results of Operations,” and in our other SEC filings in evaluating our business. These risks and uncertainties could materially and adversely affect our business, financial condition, results of operations, prospects for growth, and the value of an investment in our securities. Except as set forth below, there were no material changes to the risk factors previously disclosed in our Annual Report on Form 10-K for the year ended June 30, 2024, filed with the SEC on September 30,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Requirements</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ADSs issuable upon exercise of the Warrants and other derivative securities could cause the market price of our ADSs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issue warrants, then such warrants will entitle the holder to receive additional securities from us, diluting your ownership interest. For example, in the private placement offering we consummated on June 3, 2024, the warrants issued in the first tranche of that offering entitles the investor to purchase up to 18,932,477 ADSs, of which 6,279,905 have been issued as of the date of this quarterly report. The sale of additional ADSs, or the perception that such sales could occur, could cause the market price of our ADSs to decline or become more volatile. </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our ordinary shares or ADSs by significant existing shareholders in the public market, or the perception that such sales may occur, could depress the trading price of our ordinary shares and ADSs.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our ADSs or ordinary shares in the public market or the perception that these sales may occur could significantly reduce the market price of our ADSs and impair our ability to raise adequate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on May 31, 2024, we entered into a Securities Purchase Agreement with Armistice Capital Master Fund Ltd. (“Armistice”) pursuant to which Bionomics agreed to issue and sell in a three-tranche private placement a certain number of restricted ADSs, a pre-funded warrant to purchase ADSs and an accompanying 5-year cash purchase warrant.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tranche of the private placement involved the issuance of 1,296,486 ADSs and a Pre-Funded Warrant to purchase up to 6,279,905 ADSs as well as an Accompanying Warrant to purchase up to 12,652,572 ADSs at an exercise price of US$0.99 per ADS (or pre-funded warrants in lieu thereof). Under the terms of the Securities Purchase Agreement and the Warrants, Armistice may not beneficially own more than 9.9% of our outstanding ordinary shares at any one time. Since July 1, 2024, all of the first tranche Pre-Funded Warrant have been exercised and 6,279,905 ADS’ have been issued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tranche of the private placement is subject to the satisfaction of regulatory milestones that, if achieved, would involve the purchase by Armistice of up to an additional US$25.0 million of ADSs (or pre-funded warrants in lieu thereof) from Bionomics at US$0.99 per ADS. The second tranche milestones are the earlier of (i) receipt of formal written correspondence by Bionomics from the FDA following planned interactions with the FDA regarding the outcomes of the end-of-phase meeting 2 and breakthrough designation status for BNC210 for PTSD or (ii) December 31, 2024. In September 2024, the FDA rejected our initial application for breakthrough designation and, as a result, we believe it is unlikely that the second tranche will be exercised by or before its expiration on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third tranche of the private placement is subject to the satisfaction of regulatory milestones that, if achieved, would involve the purchase by Armistice of up to an additional US$25.0 million of ADSs (or pre-funded warrants in lieu thereof) from Bionomics at US$0.99 per ADS. The third tranche milestones are the latter of (i) completion of an interim blinded safety review of the planned BNC210 Phase-3 PTSD study or (ii)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Warrant is immediately exercisable and remains exercisable until June 2, 2029. However, Armistice may not exercise the Accompanying Warrant to the extent such exercise would cause it to beneficially own a number of ordinary shares that would exceed 4.99% of our then outstanding ordinary shares following such exercise.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ADS holders may be subject to additional risks related to holding ADSs rather than ordinary shares, and we may incur significant costs related to our Depositary Agreement for the ADSs.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do not hold ordinary shares directly and, as such, are subject to, among others, the following additional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do not treat our ADS holders as one of our shareholders and they are not able to exercise shareholder rights, except through the American Depositary Receipt (“ADR”) depositary as permitted by the deposit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distributions on the ordinary shares represented by our ADSs will be paid to the ADR depositary, and before the ADR depositary makes a distribution to ADS holders on behalf of their held ADSs, any withholding taxes that must be paid will be deducted. Additionally, if the exchange rate fluctuates during a time when the ADR depositary cannot convert the foreign currency, ADS holders may lose some or all of the value of the distribution;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and the ADR depositary may amend or terminate the deposit agreement without the ADS holders’ consent in a manner that could prejudice ADS 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under our Depositary Agreement with Citibank N.A., as the depositary for the ADSs, we have and will continue to incur significant costs related to the program through which the ADSs are issued, both in restricted and unrestricted form, and such fees are incurred on a per ADS basis; therefore, the greater the amount of ADSs issued, the greater our costs will be for such issuances. As a result of the June 4, 2024 private placement offering of ADS’ and complete exercise of the pre-funded warrants issued and exercised thereunder, we have paid Citibank significant fees in the aggregate in connection with such offering. Until we no longer are required to issue ADSs, and are able to issue shares of common stock as a domestic U.S. company, then we will continue to incur additional fees and other related costs and expenses. Even if we terminate the Depositary Agreement with Citibank, we may be required to pay significant additional fees for the withdrawal or termination of this program.</w:t>
      </w:r>
    </w:p>
    <w:p>
      <w:pPr>
        <w:pStyle w:val="TextBody"/>
        <w:bidi w:val="0"/>
        <w:spacing w:before="120" w:after="283"/>
        <w:jc w:val="left"/>
        <w:rPr>
          <w:rFonts w:ascii="Times New Roman" w:hAnsi="Times New Roman"/>
          <w:sz w:val="20"/>
        </w:rPr>
      </w:pPr>
      <w:bookmarkStart w:id="17" w:name="item_2"/>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bookmarkStart w:id="18" w:name="item_3"/>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9" w:name="item_4"/>
      <w:bookmarkEnd w:id="19"/>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bookmarkStart w:id="20" w:name="item_5"/>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Constitution of Registrant (incorporated by reference to Exhibit 1.1 to Bionomics Limited’s Annual Report on Form 20-F filed on October 18,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Deposit Agreement between Bionomics Limited, Citibank, N.A., as depositary, and the holders and beneficial owners of American depositary shares issued thereunder, dated December 17, 2021 (incorporated by reference to Exhibit 4.1 to Bionomics Limited’s Registration Statement on Form F-3 filed on May 5,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American Depositary Receipt evidencing American Depositary Shares (included in Exhibit 4.1) (incorporated by reference to Exhibit 4.2 to Bionomics Limited’s Registration Statement on Form F-3 filed on May 5,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Bionomics Limited Employee Share Plan (A$1,000 Plan) – Terms of the Plan (incorporated by reference to Exhibit 10.9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Bionomics Limited Employee Equity Plan – Plan Rules (incorporated by reference to Exhibit 10.10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Research Collaboration and License Agreement, dated June 26, 2014, by and between Bionomics Limited and Merck Sharp &amp; Dohme Corp. (incorporated by reference to Exhibit 10.1 to Bionomics Limited’s Registration Statement on Form F-1 filed on November 22, 2021)</w:t>
              </w:r>
            </w:hyperlink>
            <w:hyperlink r:id="rId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First Amendment to Research Collaboration and License Agreement, dated October 2, 2015, by and between Bionomics Limited and Merck Sharp &amp; Dohme Corp. (incorporated by reference to Exhibit 10.2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Second Amendment to Research Collaboration and License Agreement, dated May 9, 2016, by and between Bionomics Limited and Merck Sharp &amp; Dohme Corp. (incorporated by reference to Exhibit 10.3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Third Amendment to Research Collaboration and License Agreement, dated November 8, 2016, by and between Bionomics Limited and Merck Sharp &amp; Dohme Corp. (incorporated by reference to Exhibit 10.4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Fourth Amendment to Research Collaboration and License Agreement, dated April 26, 2017, by and between Bionomics Limited and Merck Sharp &amp; Dohme Corp. (incorporated by reference to Exhibit 10.5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IP License Agreement, dated November 18, 2020, by and between Bionomics Limited and Carina Biotech Pty Ltd. (incorporated by reference to Exhibit 10.6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Lease, dated May 31, 2021, by and between Bionomics Limited and 200 Greenhill Road PTY LTD (incorporated by reference to Exhibit 4.10 to Bionomics Limited’s Annual Report on Form 20-F for the fiscal year ended June 30, 2023, filed on October 18,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ATM Facility Agreement, dated May 5, 2023, with Cantor Fitzgerald (incorporated by reference to Exhibit 4.12 to Bionomics Limited’s Annual Report on Form 20-F for the fiscal year ended June 30, 2023, filed on October 18, 2023 (as amended on January 17,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Consultancy Agreement, dated March 18, 2019, between Bionomics Limited and Adrian Hinton (incorporated by reference to Exhibit 10.12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Letter, dated June 28, 2021, amending the Consultancy Agreement dated March 18, 2019, between Bionomics Limited and Adrian Hinton (incorporated by reference to Exhibit 10.13 to Bionomics Limited’s Registration Statement on Form F-1, filed on November 22, 2021)</w:t>
              </w:r>
            </w:hyperlink>
            <w:hyperlink r:id="rId1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Letter, dated July 23, 2022, amending the Consultancy Agreement dated March 18, 2019, between Bionomics Limited and Adrian Hinton (incorporated by reference to Exhibit 4.16 to Bionomics Limited’s Annual Report on Form 20-F for the fiscal year ended June 30, 2023, filed on October 18, 2023 (as amended on January 17,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Letter of Appointment, dated September 3, 2008, between Bionomics Limited and Elizabeth Doolin (incorporated by reference to Exhibit 10.14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Letter, dated July 1, 2020, from Bionomics Limited to Elizabeth Doolin (incorporated by reference to Exhibit 10.15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Letter, dated July 1, 2021, from Bionomics Limited to Elizabeth Doolin (incorporated by reference to Exhibit 10.16 to Bionomics Limited’s Registration Statement on Form F-1, filed on November 22,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Letter, dated July 1, 2022, from Bionomics Limited to Elizabeth Doolin (incorporated by reference to Exhibit 4.20 to Bionomics Limited’s Annual Report on Form 20-F for the fiscal year ended June 30, 2023, filed on October 18, 2023 (as amended on January 17,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Employment Agreement, dated January 15, 2023, between Spyridon “Spyros” Papapetropoulos and Bionomics Inc., (incorporated by reference to Exhibit 4.23 to Bionomics Limited’s Annual Report on Form 20-F for the fiscal year ended June 30, 2023, filed on October 18, 2023 (as amended on January 17, 2024))</w:t>
              </w:r>
            </w:hyperlink>
            <w:hyperlink r:id="rId25">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
        <w:gridCol w:w="146"/>
        <w:gridCol w:w="9357"/>
      </w:tblGrid>
      <w:tr>
        <w:trPr/>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7" w:type="dxa"/>
            <w:tcBorders/>
            <w:vAlign w:val="center"/>
          </w:tcPr>
          <w:p>
            <w:pPr>
              <w:pStyle w:val="TableContents"/>
              <w:bidi w:val="0"/>
              <w:spacing w:before="0" w:after="283"/>
              <w:jc w:val="left"/>
              <w:rPr>
                <w:sz w:val="4"/>
                <w:szCs w:val="4"/>
              </w:rPr>
            </w:pPr>
            <w:r>
              <w:rPr>
                <w:sz w:val="4"/>
                <w:szCs w:val="4"/>
              </w:rPr>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Consulting Agreement, dated July 2021 and amended in May 2023 and August 2023, between Danforth Advisors, LLC and Bionomics Limited, (incorporated by reference to Exhibit 4.24 to Bionomics Limited’s Annual Report on Form 20-F for the fiscal year ended June 30, 2023, filed on October 18, 2023 (as amended on January 17, 2024))</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Securities Purchase Agreement, dated May 31, 2024, between Bionomics Limited and Armistice Capital Master Fund Ltd., (incorporated by reference to Exhibit 99.1 to Bionomics Limited’s Report of Foreign Issuer on Form 6-K filed on June 3, 2024)</w:t>
              </w:r>
            </w:hyperlink>
            <w:hyperlink r:id="rId28">
              <w:r>
                <w:rPr>
                  <w:rStyle w:val="InternetLink"/>
                  <w:rFonts w:ascii="Times New Roman" w:hAnsi="Times New Roman"/>
                  <w:color w:val="0000FF"/>
                  <w:sz w:val="20"/>
                </w:rPr>
                <w:t xml:space="preserve"> </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Registration Rights Agreement between Bionomics Limited and Armistice Capital Master Fund Ltd., dated June 3, 2024 (incorporated by reference to Exhibit 99.2 to Bionomics Limited’s Report of Foreign Issuer on Form 6-K filed on June 3, 2024)</w:t>
              </w:r>
            </w:hyperlink>
            <w:hyperlink r:id="rId30">
              <w:r>
                <w:rPr>
                  <w:rStyle w:val="InternetLink"/>
                  <w:rFonts w:ascii="Times New Roman" w:hAnsi="Times New Roman"/>
                  <w:color w:val="0000FF"/>
                  <w:sz w:val="20"/>
                </w:rPr>
                <w:t xml:space="preserve"> </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Pre-Funded Warrant (incorporated by reference to Exhibit 99.3 to Bionomics Limited’s Report of Foreign Issuer on Form 6-K filed on June 3, 2024)</w:t>
              </w:r>
            </w:hyperlink>
            <w:r>
              <w:rPr>
                <w:rFonts w:ascii="Times New Roman" w:hAnsi="Times New Roman"/>
                <w:color w:val="000000"/>
                <w:sz w:val="20"/>
              </w:rPr>
              <w:t xml:space="preserve">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Accompanying Warrant (incorporated by reference to Exhibit 99.4 to Bionomics Limited’s Report of Foreign Issuer on Form 6-K filed on June 3, 2024)</w:t>
              </w:r>
            </w:hyperlink>
            <w:hyperlink r:id="rId33">
              <w:r>
                <w:rPr>
                  <w:rStyle w:val="InternetLink"/>
                  <w:rFonts w:ascii="Times New Roman" w:hAnsi="Times New Roman"/>
                  <w:color w:val="0000FF"/>
                  <w:sz w:val="20"/>
                </w:rPr>
                <w:t xml:space="preserve"> </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Engagement Letter, dated December 1, 2023, between WG Partners and Bionomics Limited (incorporated by reference to Exhibit 10.25 to Bionomics Limited’s Registration Statement on Form F-1 filed on June 18, 2024)</w:t>
              </w:r>
            </w:hyperlink>
            <w:hyperlink r:id="rId35">
              <w:r>
                <w:rPr>
                  <w:rStyle w:val="InternetLink"/>
                  <w:rFonts w:ascii="Times New Roman" w:hAnsi="Times New Roman"/>
                  <w:color w:val="0000FF"/>
                  <w:sz w:val="20"/>
                </w:rPr>
                <w:t xml:space="preserve"> </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Scheme Implementation Agreement, as amended, dated October 1, 2024, between Bionomics Limited and Neuphoria Therapeutics Inc. (incorporated by reference to Bionomics Limited’s Current Report on Form 8-K filed on October 2, 2024)</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Amendment to Scheme Implementation Agreement, dated October 24, 2024, between Bionomics Limited and Neuphoria Therapeutics Inc. (incorporated by reference to Bionomics Limited’s Current Report on Form 8-K filed on November 8, 2024)</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ox-ex31_1.htm">
              <w:r>
                <w:rPr>
                  <w:rStyle w:val="InternetLink"/>
                  <w:rFonts w:ascii="Times New Roman" w:hAnsi="Times New Roman"/>
                  <w:color w:val="0000FF"/>
                  <w:sz w:val="20"/>
                  <w:u w:val="single"/>
                </w:rPr>
                <w:t>Certification of the principal executive officer pursuant to Rules 13a-14(a) and 15d-14(a) under the Securities Exchange Act of 1934, as adopted pursuant to Section 302 of the Sarbanes-Oxley Act of 2002</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ox-ex31_2.htm">
              <w:r>
                <w:rPr>
                  <w:rStyle w:val="InternetLink"/>
                  <w:rFonts w:ascii="Times New Roman" w:hAnsi="Times New Roman"/>
                  <w:color w:val="0000FF"/>
                  <w:sz w:val="20"/>
                  <w:u w:val="single"/>
                </w:rPr>
                <w:t>Certification of the principal financial officer pursuant to Rules 13a-14(a) and 15d-14(a) under the Securities Exchange Act of 1934, as adopted pursuant to Section 302 of the Sarbanes-Oxley Act of 2002</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ox-ex32_1.htm">
              <w:r>
                <w:rPr>
                  <w:rStyle w:val="InternetLink"/>
                  <w:rFonts w:ascii="Times New Roman" w:hAnsi="Times New Roman"/>
                  <w:color w:val="0000FF"/>
                  <w:sz w:val="20"/>
                  <w:u w:val="single"/>
                </w:rPr>
                <w:t>Certification of the principal executive officer pursuant to 18 U.S.C. Section 1350, as adopted pursuant to Section 906 of the Sarbanes-Oxley Act of 2002</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ox-ex32_2.htm">
              <w:r>
                <w:rPr>
                  <w:rStyle w:val="InternetLink"/>
                  <w:rFonts w:ascii="Times New Roman" w:hAnsi="Times New Roman"/>
                  <w:color w:val="0000FF"/>
                  <w:sz w:val="20"/>
                  <w:u w:val="single"/>
                </w:rPr>
                <w:t>Certification of the principal financial officer pursuant to 18 U.S.C. Section 1350, as adopted pursuant to Section 906 of the Sarbanes-Oxley Act of 2002</w:t>
              </w:r>
            </w:hyperlink>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or compensatory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22" w:name="signature"/>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2206"/>
        <w:gridCol w:w="146"/>
        <w:gridCol w:w="406"/>
        <w:gridCol w:w="312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Tim Cunningham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bnox-ex31_1.htm"/>
      <w:bookmarkStart w:id="24" w:name="ksbnox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Spyridon Papapetropoulos,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Bionomic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rFonts w:cs="Tahoma;sans-serif"/>
          <w:color w:val="000000"/>
          <w:szCs w:val="24"/>
        </w:rPr>
        <w:t>﻿</w:t>
      </w:r>
      <w:r>
        <w:rPr>
          <w:rFonts w:ascii="Times New Roman" w:hAnsi="Times New Roman"/>
          <w:color w:val="000000"/>
          <w:sz w:val="24"/>
        </w:rPr>
        <w:br/>
      </w:r>
      <w:r>
        <w:rPr>
          <w:rFonts w:ascii="Times New Roman" w:hAnsi="Times New Roman"/>
          <w:color w:val="000000"/>
          <w:sz w:val="20"/>
        </w:rPr>
        <w:t> </w:t>
      </w:r>
    </w:p>
    <w:tbl>
      <w:tblPr>
        <w:tblW w:w="5628" w:type="dxa"/>
        <w:jc w:val="left"/>
        <w:tblInd w:w="0" w:type="dxa"/>
        <w:tblLayout w:type="fixed"/>
        <w:tblCellMar>
          <w:top w:w="28" w:type="dxa"/>
          <w:left w:w="28" w:type="dxa"/>
          <w:bottom w:w="28" w:type="dxa"/>
          <w:right w:w="28" w:type="dxa"/>
        </w:tblCellMar>
      </w:tblPr>
      <w:tblGrid>
        <w:gridCol w:w="2206"/>
        <w:gridCol w:w="166"/>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 Spyridon Papapetropoulos</w:t>
            </w:r>
          </w:p>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bnox-ex31_2.htm"/>
      <w:bookmarkStart w:id="26" w:name="ksbnox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PURSUANT TO SECTION 302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Tim Cunningham,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Bionomic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rFonts w:cs="Tahoma;sans-serif"/>
          <w:color w:val="000000"/>
          <w:szCs w:val="24"/>
        </w:rPr>
        <w:t>﻿</w:t>
      </w:r>
      <w:r>
        <w:rPr>
          <w:rFonts w:ascii="Times New Roman" w:hAnsi="Times New Roman"/>
          <w:color w:val="000000"/>
          <w:sz w:val="24"/>
        </w:rPr>
        <w:br/>
      </w:r>
      <w:r>
        <w:rPr>
          <w:rFonts w:ascii="Times New Roman" w:hAnsi="Times New Roman"/>
          <w:color w:val="000000"/>
          <w:sz w:val="20"/>
        </w:rPr>
        <w:t> </w:t>
      </w:r>
    </w:p>
    <w:tbl>
      <w:tblPr>
        <w:tblW w:w="5598" w:type="dxa"/>
        <w:jc w:val="left"/>
        <w:tblInd w:w="0" w:type="dxa"/>
        <w:tblLayout w:type="fixed"/>
        <w:tblCellMar>
          <w:top w:w="28" w:type="dxa"/>
          <w:left w:w="28" w:type="dxa"/>
          <w:bottom w:w="28" w:type="dxa"/>
          <w:right w:w="28" w:type="dxa"/>
        </w:tblCellMar>
      </w:tblPr>
      <w:tblGrid>
        <w:gridCol w:w="2206"/>
        <w:gridCol w:w="166"/>
        <w:gridCol w:w="3226"/>
      </w:tblGrid>
      <w:tr>
        <w:trPr/>
        <w:tc>
          <w:tcPr>
            <w:tcW w:w="2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 Tim Cunningham</w:t>
            </w:r>
          </w:p>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bnox-ex32_1.htm"/>
      <w:bookmarkStart w:id="28" w:name="ksbnox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Bionomics Limited (the “Company”), does hereby certify, to the best of such officer’s knowledge, that: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Quarterly Report on Form 10-Q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tbl>
      <w:tblPr>
        <w:tblW w:w="5608" w:type="dxa"/>
        <w:jc w:val="left"/>
        <w:tblInd w:w="0" w:type="dxa"/>
        <w:tblLayout w:type="fixed"/>
        <w:tblCellMar>
          <w:top w:w="28" w:type="dxa"/>
          <w:left w:w="28" w:type="dxa"/>
          <w:bottom w:w="28" w:type="dxa"/>
          <w:right w:w="28" w:type="dxa"/>
        </w:tblCellMar>
      </w:tblPr>
      <w:tblGrid>
        <w:gridCol w:w="2206"/>
        <w:gridCol w:w="146"/>
        <w:gridCol w:w="325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Spyridon Papapetropoulos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Spyridon Papapetropoulos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r>
        <w:rPr>
          <w:rFonts w:ascii="Times New Roman" w:hAnsi="Times New Roman"/>
          <w:color w:val="000000"/>
          <w:sz w:val="20"/>
        </w:rPr>
        <w:t xml:space="preserve"> </w:t>
      </w:r>
    </w:p>
    <w:p>
      <w:pPr>
        <w:pStyle w:val="TextBody"/>
        <w:bidi w:val="0"/>
        <w:spacing w:before="120" w:after="283"/>
        <w:jc w:val="left"/>
        <w:rPr/>
      </w:pPr>
      <w:r>
        <w:rPr>
          <w:rFonts w:cs="Calibri;sans-serif"/>
          <w:color w:val="000000"/>
          <w:szCs w:val="22"/>
        </w:rPr>
        <w:t>﻿</w:t>
      </w:r>
      <w:r>
        <w:rPr>
          <w:rFonts w:ascii="Calibri;sans-serif" w:hAnsi="Calibri;sans-serif"/>
          <w:color w:val="000000"/>
          <w:sz w:val="22"/>
        </w:rPr>
        <w:br/>
      </w:r>
      <w:r>
        <w:rPr>
          <w:rFonts w:ascii="Times New Roman" w:hAnsi="Times New Roman"/>
          <w:color w:val="000000"/>
          <w:sz w:val="20"/>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9" w:name="bnox-ex32_2.htm"/>
      <w:bookmarkStart w:id="30" w:name="ksbnoxex32_2"/>
      <w:bookmarkEnd w:id="29"/>
      <w:bookmarkEnd w:id="30"/>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(Subsections (a) and (b) of Section 1350, Chapter 63 of Title 18, United States Code)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Bionomics Limited (the “Company”), does hereby certify, to the best of such officer’s knowledge, that: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Quarterly Report on Form 10-Q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tbl>
      <w:tblPr>
        <w:tblW w:w="5598" w:type="dxa"/>
        <w:jc w:val="left"/>
        <w:tblInd w:w="0" w:type="dxa"/>
        <w:tblLayout w:type="fixed"/>
        <w:tblCellMar>
          <w:top w:w="28" w:type="dxa"/>
          <w:left w:w="28" w:type="dxa"/>
          <w:bottom w:w="28" w:type="dxa"/>
          <w:right w:w="28" w:type="dxa"/>
        </w:tblCellMar>
      </w:tblPr>
      <w:tblGrid>
        <w:gridCol w:w="2206"/>
        <w:gridCol w:w="166"/>
        <w:gridCol w:w="3226"/>
      </w:tblGrid>
      <w:tr>
        <w:trPr/>
        <w:tc>
          <w:tcPr>
            <w:tcW w:w="2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/s/ Tim Cunningham</w:t>
            </w:r>
          </w:p>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 Cunningham</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 and Director</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rFonts w:cs="Tahoma;sans-serif"/>
                <w:color w:val="000000"/>
                <w:szCs w:val="24"/>
              </w:rPr>
              <w:t>﻿</w:t>
            </w:r>
            <w:r>
              <w:rPr>
                <w:rFonts w:ascii="Times New Roman" w:hAnsi="Times New Roman"/>
                <w:color w:val="000000"/>
                <w:sz w:val="24"/>
              </w:rPr>
              <w:b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r>
        <w:rPr>
          <w:rFonts w:ascii="Times New Roman" w:hAnsi="Times New Roman"/>
          <w:color w:val="000000"/>
          <w:sz w:val="20"/>
        </w:rPr>
        <w:t xml:space="preserve"> </w:t>
      </w:r>
    </w:p>
    <w:p>
      <w:pPr>
        <w:pStyle w:val="TextBody"/>
        <w:bidi w:val="0"/>
        <w:spacing w:before="120" w:after="283"/>
        <w:jc w:val="left"/>
        <w:rPr/>
      </w:pPr>
      <w:r>
        <w:rPr>
          <w:rFonts w:cs="Calibri;sans-serif"/>
          <w:color w:val="000000"/>
          <w:szCs w:val="22"/>
        </w:rPr>
        <w:t>﻿</w:t>
      </w:r>
      <w:r>
        <w:rPr>
          <w:rFonts w:ascii="Calibri;sans-serif" w:hAnsi="Calibri;sans-serif"/>
          <w:color w:val="000000"/>
          <w:sz w:val="22"/>
        </w:rPr>
        <w:br/>
      </w:r>
      <w:r>
        <w:rPr>
          <w:rFonts w:ascii="Times New Roman" w:hAnsi="Times New Roman"/>
          <w:color w:val="000000"/>
          <w:sz w:val="20"/>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91070/000119312521351579/d190544dex31.htm" TargetMode="External"/><Relationship Id="rId3" Type="http://schemas.openxmlformats.org/officeDocument/2006/relationships/hyperlink" Target="https://www.sec.gov/Archives/edgar/data/1191070/000119312521354598/d190544dex41.htm" TargetMode="External"/><Relationship Id="rId4" Type="http://schemas.openxmlformats.org/officeDocument/2006/relationships/hyperlink" Target="https://www.sec.gov/Archives/edgar/data/1191070/000119312521354598/d190544dex41.htm" TargetMode="External"/><Relationship Id="rId5" Type="http://schemas.openxmlformats.org/officeDocument/2006/relationships/hyperlink" Target="https://www.sec.gov/Archives/edgar/data/1191070/000119312521337012/d190544dex109.htm" TargetMode="External"/><Relationship Id="rId6" Type="http://schemas.openxmlformats.org/officeDocument/2006/relationships/hyperlink" Target="https://www.sec.gov/Archives/edgar/data/1191070/000119312521337012/d190544dex1010.htm" TargetMode="External"/><Relationship Id="rId7" Type="http://schemas.openxmlformats.org/officeDocument/2006/relationships/hyperlink" Target="https://www.sec.gov/Archives/edgar/data/1191070/000119312521337012/d190544dex1010.htm" TargetMode="External"/><Relationship Id="rId8" Type="http://schemas.openxmlformats.org/officeDocument/2006/relationships/hyperlink" Target="https://www.sec.gov/Archives/edgar/data/1191070/000119312521337012/d190544dex1010.htm" TargetMode="External"/><Relationship Id="rId9" Type="http://schemas.openxmlformats.org/officeDocument/2006/relationships/hyperlink" Target="https://www.sec.gov/Archives/edgar/data/1191070/000119312521337012/d190544dex102.htm" TargetMode="External"/><Relationship Id="rId10" Type="http://schemas.openxmlformats.org/officeDocument/2006/relationships/hyperlink" Target="https://www.sec.gov/Archives/edgar/data/1191070/000119312521337012/d190544dex103.htm" TargetMode="External"/><Relationship Id="rId11" Type="http://schemas.openxmlformats.org/officeDocument/2006/relationships/hyperlink" Target="https://www.sec.gov/Archives/edgar/data/1191070/000119312521337012/d190544dex104.htm" TargetMode="External"/><Relationship Id="rId12" Type="http://schemas.openxmlformats.org/officeDocument/2006/relationships/hyperlink" Target="https://www.sec.gov/Archives/edgar/data/1191070/000119312521337012/d190544dex105.htm" TargetMode="External"/><Relationship Id="rId13" Type="http://schemas.openxmlformats.org/officeDocument/2006/relationships/hyperlink" Target="https://www.sec.gov/Archives/edgar/data/1191070/000119312521337012/d190544dex106.htm" TargetMode="External"/><Relationship Id="rId14" Type="http://schemas.openxmlformats.org/officeDocument/2006/relationships/hyperlink" Target="https://www.sec.gov/Archives/edgar/data/1191070/000119312521337012/d190544dex107.htm" TargetMode="External"/><Relationship Id="rId15" Type="http://schemas.openxmlformats.org/officeDocument/2006/relationships/hyperlink" Target="https://www.sec.gov/Archives/edgar/data/1191070/000095017023053873/bnox-ex4_12.htm" TargetMode="External"/><Relationship Id="rId16" Type="http://schemas.openxmlformats.org/officeDocument/2006/relationships/hyperlink" Target="https://www.sec.gov/Archives/edgar/data/1191070/000119312521337012/d190544dex1012.htm" TargetMode="External"/><Relationship Id="rId17" Type="http://schemas.openxmlformats.org/officeDocument/2006/relationships/hyperlink" Target="https://www.sec.gov/Archives/edgar/data/1191070/000119312521337012/d190544dex1013.htm" TargetMode="External"/><Relationship Id="rId18" Type="http://schemas.openxmlformats.org/officeDocument/2006/relationships/hyperlink" Target="https://www.sec.gov/Archives/edgar/data/1191070/000119312521337012/d190544dex1013.htm" TargetMode="External"/><Relationship Id="rId19" Type="http://schemas.openxmlformats.org/officeDocument/2006/relationships/hyperlink" Target="https://www.sec.gov/Archives/edgar/data/1191070/000095017023053873/bnox-ex4_16.htm" TargetMode="External"/><Relationship Id="rId20" Type="http://schemas.openxmlformats.org/officeDocument/2006/relationships/hyperlink" Target="https://www.sec.gov/Archives/edgar/data/1191070/000119312521337012/d190544dex1014.htm" TargetMode="External"/><Relationship Id="rId21" Type="http://schemas.openxmlformats.org/officeDocument/2006/relationships/hyperlink" Target="https://www.sec.gov/Archives/edgar/data/1191070/000119312521337012/d190544dex1015.htm" TargetMode="External"/><Relationship Id="rId22" Type="http://schemas.openxmlformats.org/officeDocument/2006/relationships/hyperlink" Target="https://www.sec.gov/Archives/edgar/data/1191070/000119312521337012/d190544dex1016.htm" TargetMode="External"/><Relationship Id="rId23" Type="http://schemas.openxmlformats.org/officeDocument/2006/relationships/hyperlink" Target="https://www.sec.gov/Archives/edgar/data/1191070/000095017023053873/bnox-ex4_20.htm" TargetMode="External"/><Relationship Id="rId24" Type="http://schemas.openxmlformats.org/officeDocument/2006/relationships/hyperlink" Target="https://www.sec.gov/Archives/edgar/data/1191070/000095017023053873/bnox-ex4_23.htm" TargetMode="External"/><Relationship Id="rId25" Type="http://schemas.openxmlformats.org/officeDocument/2006/relationships/hyperlink" Target="https://www.sec.gov/Archives/edgar/data/1191070/000095017023053873/bnox-ex4_23.htm" TargetMode="External"/><Relationship Id="rId26" Type="http://schemas.openxmlformats.org/officeDocument/2006/relationships/hyperlink" Target="https://www.sec.gov/Archives/edgar/data/1191070/000095017023053873/bnox-ex4_24.htm" TargetMode="External"/><Relationship Id="rId27" Type="http://schemas.openxmlformats.org/officeDocument/2006/relationships/hyperlink" Target="https://www.sec.gov/Archives/edgar/data/1191070/000095017024068125/bnox-ex99_1.htm" TargetMode="External"/><Relationship Id="rId28" Type="http://schemas.openxmlformats.org/officeDocument/2006/relationships/hyperlink" Target="https://www.sec.gov/Archives/edgar/data/1191070/000095017024068125/bnox-ex99_1.htm" TargetMode="External"/><Relationship Id="rId29" Type="http://schemas.openxmlformats.org/officeDocument/2006/relationships/hyperlink" Target="https://www.sec.gov/Archives/edgar/data/1191070/000095017024068125/bnox-ex99_2.htm" TargetMode="External"/><Relationship Id="rId30" Type="http://schemas.openxmlformats.org/officeDocument/2006/relationships/hyperlink" Target="https://www.sec.gov/Archives/edgar/data/1191070/000095017024068125/bnox-ex99_2.htm" TargetMode="External"/><Relationship Id="rId31" Type="http://schemas.openxmlformats.org/officeDocument/2006/relationships/hyperlink" Target="https://www.sec.gov/Archives/edgar/data/1191070/000095017024068125/bnox-ex99_3.htm" TargetMode="External"/><Relationship Id="rId32" Type="http://schemas.openxmlformats.org/officeDocument/2006/relationships/hyperlink" Target="https://www.sec.gov/Archives/edgar/data/1191070/000095017024068125/bnox-ex99_4.htm" TargetMode="External"/><Relationship Id="rId33" Type="http://schemas.openxmlformats.org/officeDocument/2006/relationships/hyperlink" Target="https://www.sec.gov/Archives/edgar/data/1191070/000095017024068125/bnox-ex99_4.htm" TargetMode="External"/><Relationship Id="rId34" Type="http://schemas.openxmlformats.org/officeDocument/2006/relationships/hyperlink" Target="https://www.sec.gov/Archives/edgar/data/1191070/000121390024053517/ea020790501ex10-25_bionomics.htm" TargetMode="External"/><Relationship Id="rId35" Type="http://schemas.openxmlformats.org/officeDocument/2006/relationships/hyperlink" Target="https://www.sec.gov/Archives/edgar/data/1191070/000121390024053517/ea020790501ex10-25_bionomics.htm" TargetMode="External"/><Relationship Id="rId36" Type="http://schemas.openxmlformats.org/officeDocument/2006/relationships/hyperlink" Target="https://www.sec.gov/Archives/edgar/data/1191070/000121390024084175/ea0216237-8k_bionomic.htm" TargetMode="External"/><Relationship Id="rId37" Type="http://schemas.openxmlformats.org/officeDocument/2006/relationships/hyperlink" Target="https://www.sec.gov/Archives/edgar/data/1191070/000121390024095926/ea0218750-8k_bionomics.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16231</Words>
  <Characters>90438</Characters>
  <CharactersWithSpaces>106810</CharactersWithSpaces>
  <Paragraphs>2942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