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color w:val="auto"/>
        </w:rPr>
        <w:t>November 14, 2022</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Attention:</w:t>
        <w:tab/>
        <w:t>Christopher Edwards</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Jordan Nimitz</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Kevin Vaugh</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Christine Wong</w:t>
      </w:r>
    </w:p>
    <w:p>
      <w:pPr>
        <w:spacing w:after="0" w:line="230" w:lineRule="exact"/>
        <w:rPr>
          <w:sz w:val="24"/>
          <w:szCs w:val="24"/>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Re:</w:t>
        <w:tab/>
        <w:t>Bionomics Limited</w:t>
      </w:r>
    </w:p>
    <w:p>
      <w:pPr>
        <w:spacing w:after="0" w:line="3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Registration Statement on Form F-1</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File No. 333-268314</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4"/>
          <w:szCs w:val="24"/>
          <w:color w:val="auto"/>
        </w:rPr>
      </w:pPr>
    </w:p>
    <w:p>
      <w:pPr>
        <w:jc w:val="both"/>
        <w:ind w:firstLine="440"/>
        <w:spacing w:after="0" w:line="289" w:lineRule="auto"/>
        <w:rPr>
          <w:sz w:val="20"/>
          <w:szCs w:val="20"/>
          <w:color w:val="auto"/>
        </w:rPr>
      </w:pPr>
      <w:r>
        <w:rPr>
          <w:rFonts w:ascii="Times New Roman" w:cs="Times New Roman" w:eastAsia="Times New Roman" w:hAnsi="Times New Roman"/>
          <w:sz w:val="17"/>
          <w:szCs w:val="17"/>
          <w:color w:val="auto"/>
        </w:rPr>
        <w:t xml:space="preserve">Pursuant to Rule 461 of the General Rules and Regulations of the U.S. Securities and Exchange Commission under the Securities Act of 1933, as amended (the </w:t>
      </w:r>
      <w:r>
        <w:rPr>
          <w:rFonts w:ascii="Times New Roman" w:cs="Times New Roman" w:eastAsia="Times New Roman" w:hAnsi="Times New Roman"/>
          <w:sz w:val="17"/>
          <w:szCs w:val="17"/>
          <w:b w:val="1"/>
          <w:bCs w:val="1"/>
          <w:i w:val="1"/>
          <w:iCs w:val="1"/>
          <w:color w:val="auto"/>
        </w:rPr>
        <w:t>“Securities Act”</w:t>
      </w:r>
      <w:r>
        <w:rPr>
          <w:rFonts w:ascii="Times New Roman" w:cs="Times New Roman" w:eastAsia="Times New Roman" w:hAnsi="Times New Roman"/>
          <w:sz w:val="17"/>
          <w:szCs w:val="17"/>
          <w:color w:val="auto"/>
        </w:rPr>
        <w:t>), Aegis Capital Corp. and Berenberg Capital Markets LLC hereby request acceleration of the effective date of the above-referenced Registration Statement so that it will become effective at 4:00 p.m. Eastern Time, November 15, 2022, or as soon thereafter as practicable.</w:t>
      </w:r>
    </w:p>
    <w:p>
      <w:pPr>
        <w:spacing w:after="0" w:line="158" w:lineRule="exact"/>
        <w:rPr>
          <w:sz w:val="24"/>
          <w:szCs w:val="24"/>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Pursuant to Rule 460 under the Securities Act, please be advised that we will distribute as many electronic copies of the proposed form of preliminary prospectus as appears to be reasonable to secure adequate distribution.</w:t>
      </w:r>
    </w:p>
    <w:p>
      <w:pPr>
        <w:sectPr>
          <w:pgSz w:w="11900" w:h="16838" w:orient="portrait"/>
          <w:cols w:equalWidth="0" w:num="1">
            <w:col w:w="10960"/>
          </w:cols>
          <w:pgMar w:left="440" w:top="229"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AEGIS CAPITAL CORP.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Griffin Cassagne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18415</wp:posOffset>
            </wp:positionV>
            <wp:extent cx="25971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Griffin Cassagne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Executive Vice President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BERENBERG CAPITAL MARKETS LLC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Zachary Brantly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18415</wp:posOffset>
            </wp:positionV>
            <wp:extent cx="2597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Zachary Brantly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Head of U.S. Investment Banking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Mattew Rosenblatt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18415</wp:posOffset>
            </wp:positionV>
            <wp:extent cx="25971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Matthew Rosenblatt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CCO &amp; Ops Principal</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2022-12-15T23:09:26Z</dcterms:created>
  <dcterms:modified xsi:type="dcterms:W3CDTF">2022-12-15T23:09:26Z</dcterms:modified>
</cp:coreProperties>
</file>