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87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873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Lynx1 Capital Management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30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Neuphoria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NEUP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D81 CALLE C, STE 301, PMB 1202</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DORADO</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PR</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00646-2051</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$0.00001 par value per share</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236,218</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340" w:type="dxa"/>
            <w:vAlign w:val="bottom"/>
            <w:tcBorders>
              <w:top w:val="single" w:sz="8" w:color="2C2C2C"/>
            </w:tcBorders>
            <w:gridSpan w:val="9"/>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Lynx1 Capital Management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D81 CALLE C, STE 301, PMB 1202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0000FF"/>
              </w:rPr>
              <w:t>DORADO</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PR</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00646-2051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Nichols Weston</w:t>
              </w:r>
            </w:hyperlink>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D81 CALLE C, STE 301, PMB 1202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0000FF"/>
              </w:rPr>
              <w:t>DORADO</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PR</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00646-2051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2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to which this filing relates are held directly by Lynx1 Master Fund LP to which Lynx1 Capital Management LP (the "Investment Manager") serves as investment manager. Weston Nichols ("Mr. Nichols") is the sole member of Lynx1 Capital Management GP LLC, the general partner of the Investment Manager. Each of the Investment Manager and Mr. Nichols disclaims beneficial ownership of the securities to which this filing relates for purposes of Section 16 of the Securities and Exchange Act of 1934, as amended, except to the extent of his or its pecuniary interest therein, if any.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230"/>
        </w:trPr>
        <w:tc>
          <w:tcPr>
            <w:tcW w:w="21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Lynx1 Capital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10/23/2025</w:t>
            </w:r>
          </w:p>
        </w:tc>
      </w:tr>
      <w:tr>
        <w:trPr>
          <w:trHeight w:val="20"/>
        </w:trPr>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2180" w:type="dxa"/>
            <w:vAlign w:val="bottom"/>
            <w:gridSpan w:val="8"/>
          </w:tcPr>
          <w:p>
            <w:pPr>
              <w:spacing w:after="0" w:line="220" w:lineRule="exact"/>
              <w:rPr>
                <w:sz w:val="20"/>
                <w:szCs w:val="20"/>
                <w:color w:val="auto"/>
              </w:rPr>
            </w:pPr>
            <w:r>
              <w:rPr>
                <w:rFonts w:ascii="Times New Roman" w:cs="Times New Roman" w:eastAsia="Times New Roman" w:hAnsi="Times New Roman"/>
                <w:sz w:val="20"/>
                <w:szCs w:val="20"/>
                <w:color w:val="0000FF"/>
              </w:rPr>
              <w:t>Management LP, By:</w:t>
            </w:r>
          </w:p>
        </w:tc>
        <w:tc>
          <w:tcPr>
            <w:tcW w:w="900" w:type="dxa"/>
            <w:vAlign w:val="bottom"/>
          </w:tcPr>
          <w:p>
            <w:pPr>
              <w:spacing w:after="0"/>
              <w:rPr>
                <w:sz w:val="19"/>
                <w:szCs w:val="19"/>
                <w:color w:val="auto"/>
              </w:rPr>
            </w:pPr>
          </w:p>
        </w:tc>
      </w:tr>
      <w:tr>
        <w:trPr>
          <w:trHeight w:val="220"/>
        </w:trPr>
        <w:tc>
          <w:tcPr>
            <w:tcW w:w="16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Lynx1 Capital</w:t>
            </w:r>
          </w:p>
        </w:tc>
        <w:tc>
          <w:tcPr>
            <w:tcW w:w="54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0"/>
        </w:trPr>
        <w:tc>
          <w:tcPr>
            <w:tcW w:w="2180" w:type="dxa"/>
            <w:vAlign w:val="bottom"/>
            <w:gridSpan w:val="8"/>
          </w:tcPr>
          <w:p>
            <w:pPr>
              <w:spacing w:after="0" w:line="220" w:lineRule="exact"/>
              <w:rPr>
                <w:sz w:val="20"/>
                <w:szCs w:val="20"/>
                <w:color w:val="auto"/>
              </w:rPr>
            </w:pPr>
            <w:r>
              <w:rPr>
                <w:rFonts w:ascii="Times New Roman" w:cs="Times New Roman" w:eastAsia="Times New Roman" w:hAnsi="Times New Roman"/>
                <w:sz w:val="20"/>
                <w:szCs w:val="20"/>
                <w:color w:val="0000FF"/>
              </w:rPr>
              <w:t>Management GP LLC, its</w:t>
            </w:r>
          </w:p>
        </w:tc>
        <w:tc>
          <w:tcPr>
            <w:tcW w:w="900" w:type="dxa"/>
            <w:vAlign w:val="bottom"/>
          </w:tcPr>
          <w:p>
            <w:pPr>
              <w:spacing w:after="0"/>
              <w:rPr>
                <w:sz w:val="19"/>
                <w:szCs w:val="19"/>
                <w:color w:val="auto"/>
              </w:rPr>
            </w:pPr>
          </w:p>
        </w:tc>
      </w:tr>
      <w:tr>
        <w:trPr>
          <w:trHeight w:val="220"/>
        </w:trPr>
        <w:tc>
          <w:tcPr>
            <w:tcW w:w="1780" w:type="dxa"/>
            <w:vAlign w:val="bottom"/>
            <w:tcBorders>
              <w:top w:val="single" w:sz="8" w:color="auto"/>
              <w:bottom w:val="single" w:sz="8" w:color="auto"/>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5"/>
              </w:rPr>
              <w:t>general partner, By: /s/</w:t>
            </w:r>
          </w:p>
        </w:tc>
        <w:tc>
          <w:tcPr>
            <w:tcW w:w="2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168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Weston Nichols, Sole</w:t>
            </w:r>
          </w:p>
        </w:tc>
        <w:tc>
          <w:tcPr>
            <w:tcW w:w="50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6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Member</w:t>
            </w:r>
          </w:p>
        </w:tc>
        <w:tc>
          <w:tcPr>
            <w:tcW w:w="152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21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/s/ Weston Nichols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10/23/2025</w:t>
            </w:r>
          </w:p>
        </w:tc>
      </w:tr>
      <w:tr>
        <w:trPr>
          <w:trHeight w:val="20"/>
        </w:trPr>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910456" TargetMode="External"/><Relationship Id="rId11" Type="http://schemas.openxmlformats.org/officeDocument/2006/relationships/hyperlink" Target="http://www.sec.gov/cgi-bin/browse-edgar?action=getcompany&amp;CIK=0001191070" TargetMode="External"/><Relationship Id="rId13" Type="http://schemas.openxmlformats.org/officeDocument/2006/relationships/hyperlink" Target="http://www.sec.gov/cgi-bin/browse-edgar?action=getcompany&amp;CIK=0001746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2025-10-23T18:49:32Z</dcterms:created>
  <dcterms:modified xsi:type="dcterms:W3CDTF">2025-10-23T18:49:32Z</dcterms:modified>
</cp:coreProperties>
</file>