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190" w:after="283"/>
        <w:ind w:left="0" w:right="0" w:hanging="0"/>
        <w:jc w:val="center"/>
        <w:rPr>
          <w:rFonts w:ascii="Times New Roman;Times;serif" w:hAnsi="Times New Roman;Times;serif"/>
          <w:b/>
          <w:color w:val="000000"/>
          <w:sz w:val="28"/>
        </w:rPr>
      </w:pPr>
      <w:bookmarkStart w:id="0" w:name="ny20055722x1_def14a_100-regcov_pg1"/>
      <w:bookmarkStart w:id="1" w:name="ny20055722x2_defa14a.htm"/>
      <w:bookmarkStart w:id="2" w:name="ksny20055722x2_defa14a"/>
      <w:bookmarkEnd w:id="0"/>
      <w:bookmarkEnd w:id="1"/>
      <w:bookmarkEnd w:id="2"/>
      <w:r>
        <w:rPr>
          <w:rFonts w:ascii="Times New Roman;Times;serif" w:hAnsi="Times New Roman;Times;serif"/>
          <w:b/>
          <w:color w:val="000000"/>
          <w:sz w:val="28"/>
        </w:rPr>
        <w:t xml:space="preserve">U.S. SECURITIES AND EXCHANGE COMMISSION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4"/>
        </w:rPr>
      </w:pPr>
      <w:r>
        <w:rPr>
          <w:rFonts w:ascii="Times New Roman;Times;serif" w:hAnsi="Times New Roman;Times;serif"/>
          <w:b/>
          <w:color w:val="000000"/>
          <w:sz w:val="24"/>
        </w:rPr>
        <w:t xml:space="preserve">Washington, D.C. 20549 </w:t>
      </w:r>
    </w:p>
    <w:p>
      <w:pPr>
        <w:pStyle w:val="TextBody"/>
        <w:bidi w:val="0"/>
        <w:spacing w:before="370" w:after="283"/>
        <w:jc w:val="center"/>
        <w:rPr>
          <w:rFonts w:ascii="Times New Roman;Times;serif" w:hAnsi="Times New Roman;Times;serif"/>
          <w:b/>
          <w:color w:val="000000"/>
          <w:sz w:val="32"/>
        </w:rPr>
      </w:pPr>
      <w:r>
        <w:rPr>
          <w:rFonts w:ascii="Times New Roman;Times;serif" w:hAnsi="Times New Roman;Times;serif"/>
          <w:b/>
          <w:color w:val="000000"/>
          <w:sz w:val="32"/>
        </w:rPr>
        <w:t xml:space="preserve">SCHEDULE 14A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32"/>
        </w:rPr>
      </w:pPr>
      <w:r>
        <w:rPr>
          <w:rFonts w:ascii="Times New Roman;Times;serif" w:hAnsi="Times New Roman;Times;serif"/>
          <w:b/>
          <w:color w:val="000000"/>
          <w:sz w:val="32"/>
        </w:rPr>
        <w:t xml:space="preserve">INFORMATION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Proxy Statement Pursuant to Section 14(a) of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the Securities Exchange Act of 1934 </w:t>
      </w:r>
    </w:p>
    <w:p>
      <w:pPr>
        <w:pStyle w:val="TextBody"/>
        <w:bidi w:val="0"/>
        <w:spacing w:before="130" w:after="283"/>
        <w:ind w:left="0" w:right="0" w:hanging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 xml:space="preserve">Filed by the Registrant ☒ </w:t>
      </w:r>
    </w:p>
    <w:p>
      <w:pPr>
        <w:pStyle w:val="TextBody"/>
        <w:bidi w:val="0"/>
        <w:spacing w:before="170" w:after="283"/>
        <w:ind w:left="0" w:right="0" w:hanging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 xml:space="preserve">Filed by a Party other than the Registrant  ☐ </w:t>
      </w:r>
    </w:p>
    <w:p>
      <w:pPr>
        <w:pStyle w:val="TextBody"/>
        <w:bidi w:val="0"/>
        <w:spacing w:before="170" w:after="283"/>
        <w:ind w:left="0" w:right="0" w:hanging="0"/>
        <w:jc w:val="left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Check the appropriate box: </w:t>
      </w:r>
    </w:p>
    <w:tbl>
      <w:tblPr>
        <w:tblW w:w="266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239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3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Preliminary Proxy Statement </w:t>
            </w:r>
          </w:p>
        </w:tc>
      </w:tr>
    </w:tbl>
    <w:tbl>
      <w:tblPr>
        <w:tblW w:w="685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657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65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Confidential, for Use of the Commission Only (as permitted by Rule 14a-6(e)(2)) </w:t>
            </w:r>
          </w:p>
        </w:tc>
      </w:tr>
    </w:tbl>
    <w:tbl>
      <w:tblPr>
        <w:tblW w:w="250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27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27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Definitive Proxy Statement </w:t>
            </w:r>
          </w:p>
        </w:tc>
      </w:tr>
    </w:tbl>
    <w:tbl>
      <w:tblPr>
        <w:tblW w:w="286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63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26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Definitive Additional Materials </w:t>
            </w:r>
          </w:p>
        </w:tc>
      </w:tr>
    </w:tbl>
    <w:tbl>
      <w:tblPr>
        <w:tblW w:w="395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368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68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Soliciting Material under §240. Rule 14a-12 </w:t>
            </w:r>
          </w:p>
        </w:tc>
      </w:tr>
    </w:tbl>
    <w:p>
      <w:pPr>
        <w:pStyle w:val="TextBody"/>
        <w:bidi w:val="0"/>
        <w:spacing w:before="305" w:after="283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2381250" cy="4667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TextBody"/>
        <w:bidi w:val="0"/>
        <w:spacing w:before="410" w:after="283"/>
        <w:jc w:val="center"/>
        <w:rPr>
          <w:color w:val="000000"/>
        </w:rPr>
      </w:pPr>
      <w:r>
        <w:rPr>
          <w:color w:val="000000"/>
        </w:rPr>
        <w:t> </w:t>
      </w:r>
      <w:r>
        <w:rPr>
          <w:rFonts w:ascii="Times New Roman;Times;serif" w:hAnsi="Times New Roman;Times;serif"/>
          <w:b/>
          <w:color w:val="000000"/>
          <w:sz w:val="36"/>
        </w:rPr>
        <w:t xml:space="preserve">Neuphoria Therapeutics Inc.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(Name of Registrant as Specified in its Charter)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(Name of Person(s) Filing Proxy Statement, if other than the Registrant) </w:t>
      </w:r>
    </w:p>
    <w:p>
      <w:pPr>
        <w:pStyle w:val="TextBody"/>
        <w:bidi w:val="0"/>
        <w:spacing w:before="130" w:after="283"/>
        <w:ind w:left="0" w:right="0" w:hanging="0"/>
        <w:jc w:val="left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Payment of Filing Fee (Check all boxes that apply): </w:t>
      </w:r>
    </w:p>
    <w:tbl>
      <w:tblPr>
        <w:tblW w:w="154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131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3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No fee required </w:t>
            </w:r>
          </w:p>
        </w:tc>
      </w:tr>
    </w:tbl>
    <w:tbl>
      <w:tblPr>
        <w:tblW w:w="412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384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8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Fee paid previously with preliminary materials </w:t>
            </w:r>
          </w:p>
        </w:tc>
      </w:tr>
    </w:tbl>
    <w:tbl>
      <w:tblPr>
        <w:tblW w:w="856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828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82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Fee computed on table in exhibit required by Item 25(b) per Exchange Act Rules 14a-6(i)(1) and 0-11 </w:t>
            </w:r>
          </w:p>
        </w:tc>
      </w:tr>
    </w:tbl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240" w:after="283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620000" cy="985837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985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240" w:after="283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620000" cy="985837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985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spacing w:before="24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134</Words>
  <Characters>725</Characters>
  <CharactersWithSpaces>859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