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Neuphoria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228,594.00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of the beneficial ownership of the Reporting Persons is based on 5,404,551 shares of Common Stock issued and outstanding as of May 14, 2026, as reported by the Issuer in its Quarterly Report on Form 10-Q filed with the Securities and Exchange Commission on May 15, 2026. This Amendment No. 1 constitutes an exit filing for the Reporting Persons, as the Reporting Persons no longer beneficially own more than 5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228,594.00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of the beneficial ownership of the Reporting Persons is based on 5,404,551 shares of Common Stock issued and outstanding as of May 14, 2026, as reported by the Issuer in its Quarterly Report on Form 10-Q filed with the Securities and Exchange Commission on May 15, 2026. This Amendment No. 1 constitutes an exit filing for the Reporting Persons, as the Reporting Persons no longer beneficially own more than 5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228,594.00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of the beneficial ownership of the Reporting Persons is based on 5,404,551 shares of Common Stock issued and outstanding as of May 14, 2026, as reported by the Issuer in its Quarterly Report on Form 10-Q filed with the Securities and Exchange Commission on May 15, 2026. This Amendment No. 1 constitutes an exit filing for the Reporting Persons, as the Reporting Persons no longer beneficially own more than 5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228,594.00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228,594.00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of the beneficial ownership of the Reporting Persons is based on 5,404,551 shares of Common Stock issued and outstanding as of May 14, 2026, as reported by the Issuer in its Quarterly Report on Form 10-Q filed with the Securities and Exchange Commission on May 15, 2026. This Amendment No. 1 constitutes an exit filing for the Reporting Persons, as the Reporting Persons no longer beneficially own more than 5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D. Perry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228,594.00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228,594.00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of the beneficial ownership of the Reporting Persons is based on 5,404,551 shares of Common Stock issued and outstanding as of May 14, 2026, as reported by the Issuer in its Quarterly Report on Form 10-Q filed with the Securities and Exchange Commission on May 15, 2026. This Amendment No. 1 constitutes an exit filing for the Reporting Persons, as the Reporting Persons no longer beneficially own more than 5 percent of any class of securities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Neuphoria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Summit Drive Burlington, MA, 01803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Coastlands Capital LP, a Delaware limited partnership ("Coastlands") Coastlands Capital Partners LP, a Delaware limited partnership (the "Partnership") Coastlands Capital GP LLC, a Delaware limited liability company (the "General Partner") Coastlands Capital LLC, a Delaware limited liability company ("Coastlands GP") Matthew D. Perry Coastlands and the General Partner are the investment adviser and general partner, respectively, of the Partnership. Coastlands GP is the general partner of Coastlands. Mr. Perry is the control person of Coastlands, the Partnership, Coastlands GP and the General Partner. The reporting persons are filing this Schedule 13G jointly, but not as members of a group, and each disclaims membership in a group. Each reporting person also disclaims beneficial ownership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California Street, Suite 1210,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Coastlands: 228,594 Partnership: 228,594 General Partner: 228,594 Coastlands GP: 228,594 Matthew D. Perry: 228,594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Coastlands: 4.23% Partnership: 4.23% General Partner: 4.23% Coastlands GP: 4.23% Matthew D. Perry: 4.23%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Coastlands: 228,594 Partnership: 228,594 General Partner: 228,594 Coastlands GP: 228,594 Matthew D. Perry: 228,594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Coastlands: 228,594 Partnership: 228,594 General Partner: 228,594 Coastlands GP: 228,594 Matthew D. Perry: 228,594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Coastlands Capital LP</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Mark Shamia</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Chief Operating Officer of the General Partner, Coastlands Capital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Coastlands Capital Partners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Shamia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Chief Operating Officer of the General Partner, Coastlands Capital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Coastlands Capital GP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Coastlands Capital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Matthew D. Perry</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D. Perry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Reporting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2040</Words>
  <Characters>10553</Characters>
  <CharactersWithSpaces>12508</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